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Полный конспект лекции</w:t>
      </w:r>
    </w:p>
    <w:p>
      <w:pPr>
        <w:jc w:val="center"/>
      </w:pPr>
      <w:r>
        <w:rPr>
          <w:b/>
        </w:rPr>
        <w:t>ОП.05 «Основы микропроцессорной техники»</w:t>
      </w:r>
    </w:p>
    <w:p>
      <w:pPr>
        <w:jc w:val="center"/>
      </w:pPr>
      <w:r>
        <w:rPr>
          <w:b/>
        </w:rPr>
        <w:t>Тема 4. Интерфейсные устройства</w:t>
      </w:r>
    </w:p>
    <w:p>
      <w:pPr>
        <w:jc w:val="center"/>
      </w:pPr>
      <w:r>
        <w:rPr>
          <w:i/>
        </w:rPr>
        <w:t>Расширенный материал для самостоятельного повторения</w:t>
      </w:r>
    </w:p>
    <w:p>
      <w:pPr>
        <w:jc w:val="center"/>
      </w:pPr>
      <w:r>
        <w:t>1 академический час: 1 ч лекции; отдельное ЛПЗ не предусмотрено</w:t>
        <w:br/>
        <w:t>КУПД «Слесарь по КИПиА» от 21.04.2026 № УПД-15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5099"/>
        <w:gridCol w:w="5099"/>
      </w:tblGrid>
      <w:tr>
        <w:tc>
          <w:tcPr>
            <w:tcW w:type="dxa" w:w="5099"/>
          </w:tcPr>
          <w:p>
            <w:r>
              <w:rPr>
                <w:b/>
              </w:rPr>
              <w:t>Параметр</w:t>
            </w:r>
          </w:p>
        </w:tc>
        <w:tc>
          <w:tcPr>
            <w:tcW w:type="dxa" w:w="5099"/>
          </w:tcPr>
          <w:p>
            <w:r>
              <w:rPr>
                <w:b/>
              </w:rPr>
              <w:t>Значение</w:t>
            </w:r>
          </w:p>
        </w:tc>
      </w:tr>
      <w:tr>
        <w:tc>
          <w:tcPr>
            <w:tcW w:type="dxa" w:w="5099"/>
          </w:tcPr>
          <w:p>
            <w:r>
              <w:t>Дисциплина</w:t>
            </w:r>
          </w:p>
        </w:tc>
        <w:tc>
          <w:tcPr>
            <w:tcW w:type="dxa" w:w="5099"/>
          </w:tcPr>
          <w:p>
            <w:r>
              <w:t>ОП.05 «Основы микропроцессорной техники»</w:t>
            </w:r>
          </w:p>
        </w:tc>
      </w:tr>
      <w:tr>
        <w:tc>
          <w:tcPr>
            <w:tcW w:type="dxa" w:w="5099"/>
          </w:tcPr>
          <w:p>
            <w:r>
              <w:t>Тема</w:t>
            </w:r>
          </w:p>
        </w:tc>
        <w:tc>
          <w:tcPr>
            <w:tcW w:type="dxa" w:w="5099"/>
          </w:tcPr>
          <w:p>
            <w:r>
              <w:t>Тема 4. Интерфейсные устройства</w:t>
            </w:r>
          </w:p>
        </w:tc>
      </w:tr>
      <w:tr>
        <w:tc>
          <w:tcPr>
            <w:tcW w:type="dxa" w:w="5099"/>
          </w:tcPr>
          <w:p>
            <w:r>
              <w:t>Часы</w:t>
            </w:r>
          </w:p>
        </w:tc>
        <w:tc>
          <w:tcPr>
            <w:tcW w:type="dxa" w:w="5099"/>
          </w:tcPr>
          <w:p>
            <w:r>
              <w:t>1 академический час: 1 ч лекции; отдельное ЛПЗ не предусмотрено</w:t>
            </w:r>
          </w:p>
        </w:tc>
      </w:tr>
      <w:tr>
        <w:tc>
          <w:tcPr>
            <w:tcW w:type="dxa" w:w="5099"/>
          </w:tcPr>
          <w:p>
            <w:r>
              <w:t>Источник</w:t>
            </w:r>
          </w:p>
        </w:tc>
        <w:tc>
          <w:tcPr>
            <w:tcW w:type="dxa" w:w="5099"/>
          </w:tcPr>
          <w:p>
            <w:r>
              <w:t>КУПД «Слесарь по КИПиА» от 21.04.2026 № УПД-15</w:t>
            </w:r>
          </w:p>
        </w:tc>
      </w:tr>
    </w:tbl>
    <w:p>
      <w:r>
        <w:br w:type="page"/>
      </w:r>
    </w:p>
    <w:p>
      <w:pPr>
        <w:jc w:val="center"/>
      </w:pPr>
      <w:r>
        <w:rPr>
          <w:b/>
        </w:rPr>
        <w:t>СОДЕРЖАНИЕ</w:t>
      </w:r>
    </w:p>
    <w:p>
      <w:hyperlink w:anchor="s1" w:history="1">
        <w:r>
          <w:rPr>
            <w:color w:val="0563C1"/>
            <w:u w:val="single"/>
          </w:rPr>
          <w:t>1. Назначение интерфейса</w:t>
        </w:r>
      </w:hyperlink>
    </w:p>
    <w:p>
      <w:hyperlink w:anchor="s2" w:history="1">
        <w:r>
          <w:rPr>
            <w:color w:val="0563C1"/>
            <w:u w:val="single"/>
          </w:rPr>
          <w:t>2. Три составляющие интерфейса</w:t>
        </w:r>
      </w:hyperlink>
    </w:p>
    <w:p>
      <w:hyperlink w:anchor="s3" w:history="1">
        <w:r>
          <w:rPr>
            <w:color w:val="0563C1"/>
            <w:u w:val="single"/>
          </w:rPr>
          <w:t>3. Аппаратная составляющая</w:t>
        </w:r>
      </w:hyperlink>
    </w:p>
    <w:p>
      <w:hyperlink w:anchor="s4" w:history="1">
        <w:r>
          <w:rPr>
            <w:color w:val="0563C1"/>
            <w:u w:val="single"/>
          </w:rPr>
          <w:t>4. Программная составляющая</w:t>
        </w:r>
      </w:hyperlink>
    </w:p>
    <w:p>
      <w:hyperlink w:anchor="s5" w:history="1">
        <w:r>
          <w:rPr>
            <w:color w:val="0563C1"/>
            <w:u w:val="single"/>
          </w:rPr>
          <w:t>5. Конструкторская составляющая</w:t>
        </w:r>
      </w:hyperlink>
    </w:p>
    <w:p>
      <w:hyperlink w:anchor="s6" w:history="1">
        <w:r>
          <w:rPr>
            <w:color w:val="0563C1"/>
            <w:u w:val="single"/>
          </w:rPr>
          <w:t>6. Основы функционирования</w:t>
        </w:r>
      </w:hyperlink>
    </w:p>
    <w:p>
      <w:hyperlink w:anchor="s7" w:history="1">
        <w:r>
          <w:rPr>
            <w:color w:val="0563C1"/>
            <w:u w:val="single"/>
          </w:rPr>
          <w:t>7. Интерфейс и протокол</w:t>
        </w:r>
      </w:hyperlink>
    </w:p>
    <w:p>
      <w:hyperlink w:anchor="s8" w:history="1">
        <w:r>
          <w:rPr>
            <w:color w:val="0563C1"/>
            <w:u w:val="single"/>
          </w:rPr>
          <w:t>8. UART/TTL как учебный пример</w:t>
        </w:r>
      </w:hyperlink>
    </w:p>
    <w:p>
      <w:hyperlink w:anchor="s9" w:history="1">
        <w:r>
          <w:rPr>
            <w:color w:val="0563C1"/>
            <w:u w:val="single"/>
          </w:rPr>
          <w:t>9. RS-232 как учебный пример</w:t>
        </w:r>
      </w:hyperlink>
    </w:p>
    <w:p>
      <w:hyperlink w:anchor="s10" w:history="1">
        <w:r>
          <w:rPr>
            <w:color w:val="0563C1"/>
            <w:u w:val="single"/>
          </w:rPr>
          <w:t>10. RS-485 как промышленный пример</w:t>
        </w:r>
      </w:hyperlink>
    </w:p>
    <w:p>
      <w:hyperlink w:anchor="s11" w:history="1">
        <w:r>
          <w:rPr>
            <w:color w:val="0563C1"/>
            <w:u w:val="single"/>
          </w:rPr>
          <w:t>11. SPI и I²C как внутренние интерфейсы</w:t>
        </w:r>
      </w:hyperlink>
    </w:p>
    <w:p>
      <w:hyperlink w:anchor="s12" w:history="1">
        <w:r>
          <w:rPr>
            <w:color w:val="0563C1"/>
            <w:u w:val="single"/>
          </w:rPr>
          <w:t>12. RS-485 и Modbus RTU</w:t>
        </w:r>
      </w:hyperlink>
    </w:p>
    <w:p>
      <w:hyperlink w:anchor="s13" w:history="1">
        <w:r>
          <w:rPr>
            <w:color w:val="0563C1"/>
            <w:u w:val="single"/>
          </w:rPr>
          <w:t>13. Диагностика интерфейсного обмена</w:t>
        </w:r>
      </w:hyperlink>
    </w:p>
    <w:p>
      <w:hyperlink w:anchor="s14" w:history="1">
        <w:r>
          <w:rPr>
            <w:color w:val="0563C1"/>
            <w:u w:val="single"/>
          </w:rPr>
          <w:t>14. Производственные примеры КИПиА</w:t>
        </w:r>
      </w:hyperlink>
    </w:p>
    <w:p>
      <w:hyperlink w:anchor="s15" w:history="1">
        <w:r>
          <w:rPr>
            <w:color w:val="0563C1"/>
            <w:u w:val="single"/>
          </w:rPr>
          <w:t>15. Итоги и контрольные вопросы</w:t>
        </w:r>
      </w:hyperlink>
    </w:p>
    <w:p>
      <w:bookmarkStart w:id="335658" w:name="s1"/>
      <w:pPr>
        <w:pStyle w:val="Heading1"/>
      </w:pPr>
      <w:r>
        <w:t>1. Назначение интерфейса</w:t>
      </w:r>
      <w:bookmarkEnd w:id="335658"/>
    </w:p>
    <w:p>
      <w:r>
        <w:t>Интерфейс задаёт условия, при которых два узла или устройства могут корректно взаимодействовать и обмениваться информацией.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2_interface_purpose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587966" w:name="s2"/>
      <w:pPr>
        <w:pStyle w:val="Heading1"/>
      </w:pPr>
      <w:r>
        <w:t>2. Три составляющие интерфейса</w:t>
      </w:r>
      <w:bookmarkEnd w:id="587966"/>
    </w:p>
    <w:p>
      <w:r>
        <w:t>КУПД прямо называет аппаратную, программную и конструкторскую составляющие. Совместимость возникает при их согласовании.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5099"/>
        <w:gridCol w:w="5099"/>
      </w:tblGrid>
      <w:tr>
        <w:tc>
          <w:tcPr>
            <w:tcW w:type="dxa" w:w="5099"/>
          </w:tcPr>
          <w:p>
            <w:r>
              <w:rPr>
                <w:b/>
              </w:rPr>
              <w:t>Составляющая</w:t>
            </w:r>
          </w:p>
        </w:tc>
        <w:tc>
          <w:tcPr>
            <w:tcW w:type="dxa" w:w="5099"/>
          </w:tcPr>
          <w:p>
            <w:r>
              <w:rPr>
                <w:b/>
              </w:rPr>
              <w:t>Что определяет</w:t>
            </w:r>
          </w:p>
        </w:tc>
      </w:tr>
      <w:tr>
        <w:tc>
          <w:tcPr>
            <w:tcW w:type="dxa" w:w="5099"/>
          </w:tcPr>
          <w:p>
            <w:r>
              <w:t>Аппаратная</w:t>
            </w:r>
          </w:p>
        </w:tc>
        <w:tc>
          <w:tcPr>
            <w:tcW w:type="dxa" w:w="5099"/>
          </w:tcPr>
          <w:p>
            <w:r>
              <w:t>электрические уровни, линии, приёмопередатчики</w:t>
            </w:r>
          </w:p>
        </w:tc>
      </w:tr>
      <w:tr>
        <w:tc>
          <w:tcPr>
            <w:tcW w:type="dxa" w:w="5099"/>
          </w:tcPr>
          <w:p>
            <w:r>
              <w:t>Программная</w:t>
            </w:r>
          </w:p>
        </w:tc>
        <w:tc>
          <w:tcPr>
            <w:tcW w:type="dxa" w:w="5099"/>
          </w:tcPr>
          <w:p>
            <w:r>
              <w:t>формат, команды, адресацию, порядок обмена</w:t>
            </w:r>
          </w:p>
        </w:tc>
      </w:tr>
      <w:tr>
        <w:tc>
          <w:tcPr>
            <w:tcW w:type="dxa" w:w="5099"/>
          </w:tcPr>
          <w:p>
            <w:r>
              <w:t>Конструкторская</w:t>
            </w:r>
          </w:p>
        </w:tc>
        <w:tc>
          <w:tcPr>
            <w:tcW w:type="dxa" w:w="5099"/>
          </w:tcPr>
          <w:p>
            <w:r>
              <w:t>разъёмы, контакты, кабель, монтаж</w:t>
            </w:r>
          </w:p>
        </w:tc>
      </w:tr>
    </w:tbl>
    <w:p>
      <w:r>
        <w:drawing>
          <wp:inline xmlns:a="http://schemas.openxmlformats.org/drawingml/2006/main" xmlns:pic="http://schemas.openxmlformats.org/drawingml/2006/picture">
            <wp:extent cx="5832000" cy="204120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1_interface_components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738212" w:name="s3"/>
      <w:pPr>
        <w:pStyle w:val="Heading1"/>
      </w:pPr>
      <w:r>
        <w:t>3. Аппаратная составляющая</w:t>
      </w:r>
      <w:bookmarkEnd w:id="738212"/>
    </w:p>
    <w:p>
      <w:r>
        <w:t>Определяет электрические уровни, линии связи, передатчики и приёмники, направление передачи и допустимые нагрузки. Конкретные параметры берутся из документации.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3_hardware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715167" w:name="s4"/>
      <w:pPr>
        <w:pStyle w:val="Heading1"/>
      </w:pPr>
      <w:r>
        <w:t>4. Программная составляющая</w:t>
      </w:r>
      <w:bookmarkEnd w:id="715167"/>
    </w:p>
    <w:p>
      <w:r>
        <w:t>Определяет формат данных, последовательность обмена, команды, адресацию, контроль и обработку. Исправная линия не гарантирует обмен при несовместимых правилах.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4_software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832691" w:name="s5"/>
      <w:pPr>
        <w:pStyle w:val="Heading1"/>
      </w:pPr>
      <w:r>
        <w:t>5. Конструкторская составляющая</w:t>
      </w:r>
      <w:bookmarkEnd w:id="832691"/>
    </w:p>
    <w:p>
      <w:r>
        <w:t>Определяет разъём, назначение контактов, кабель, механическое исполнение и монтаж. Одинаковый разъём не означает совместимость.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5_construction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935678" w:name="s6"/>
      <w:pPr>
        <w:pStyle w:val="Heading1"/>
      </w:pPr>
      <w:r>
        <w:t>6. Основы функционирования</w:t>
      </w:r>
      <w:bookmarkEnd w:id="935678"/>
    </w:p>
    <w:p>
      <w:r>
        <w:t>Упрощённо обмен включает инициализацию, формирование данных, передачу, приём, проверку, обработку и при необходимости ответ.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6_operation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12369" w:name="s7"/>
      <w:pPr>
        <w:pStyle w:val="Heading1"/>
      </w:pPr>
      <w:r>
        <w:t>7. Интерфейс и протокол</w:t>
      </w:r>
      <w:bookmarkEnd w:id="12369"/>
    </w:p>
    <w:p>
      <w:r>
        <w:t>Для учебного понимания физическая сторона связи отделяется от правил обмена. Протокол задаёт структуру сообщений и порядок взаимодействия.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7_physical_protocol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315108" w:name="s8"/>
      <w:pPr>
        <w:pStyle w:val="Heading1"/>
      </w:pPr>
      <w:r>
        <w:t>8. UART/TTL как учебный пример</w:t>
      </w:r>
      <w:bookmarkEnd w:id="315108"/>
    </w:p>
    <w:p>
      <w:r>
        <w:t>UART задаёт последовательный поток данных с параметрами скорости, числа бит, чётности и стоп-битов. Электрические уровни зависят от реализации.</w:t>
      </w:r>
    </w:p>
    <w:p>
      <w:bookmarkStart w:id="328630" w:name="s9"/>
      <w:pPr>
        <w:pStyle w:val="Heading1"/>
      </w:pPr>
      <w:r>
        <w:t>9. RS-232 как учебный пример</w:t>
      </w:r>
      <w:bookmarkEnd w:id="328630"/>
    </w:p>
    <w:p>
      <w:r>
        <w:t>RS-232 показывает связь электрических характеристик линии, распайки и параметров последовательного обмена.</w:t>
      </w:r>
    </w:p>
    <w:p>
      <w:bookmarkStart w:id="442118" w:name="s10"/>
      <w:pPr>
        <w:pStyle w:val="Heading1"/>
      </w:pPr>
      <w:r>
        <w:t>10. RS-485 как промышленный пример</w:t>
      </w:r>
      <w:bookmarkEnd w:id="442118"/>
    </w:p>
    <w:p>
      <w:r>
        <w:t>RS-485 использует дифференциальную передачу. Для связи важны линия, полярность, топология, согласование при необходимости и программные параметры.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5099"/>
        <w:gridCol w:w="5099"/>
      </w:tblGrid>
      <w:tr>
        <w:tc>
          <w:tcPr>
            <w:tcW w:type="dxa" w:w="5099"/>
          </w:tcPr>
          <w:p>
            <w:r>
              <w:rPr>
                <w:b/>
              </w:rPr>
              <w:t>Проверка</w:t>
            </w:r>
          </w:p>
        </w:tc>
        <w:tc>
          <w:tcPr>
            <w:tcW w:type="dxa" w:w="5099"/>
          </w:tcPr>
          <w:p>
            <w:r>
              <w:rPr>
                <w:b/>
              </w:rPr>
              <w:t>Пример</w:t>
            </w:r>
          </w:p>
        </w:tc>
      </w:tr>
      <w:tr>
        <w:tc>
          <w:tcPr>
            <w:tcW w:type="dxa" w:w="5099"/>
          </w:tcPr>
          <w:p>
            <w:r>
              <w:t>Аппаратная</w:t>
            </w:r>
          </w:p>
        </w:tc>
        <w:tc>
          <w:tcPr>
            <w:tcW w:type="dxa" w:w="5099"/>
          </w:tcPr>
          <w:p>
            <w:r>
              <w:t>A/B, линия, питание, уровни</w:t>
            </w:r>
          </w:p>
        </w:tc>
      </w:tr>
      <w:tr>
        <w:tc>
          <w:tcPr>
            <w:tcW w:type="dxa" w:w="5099"/>
          </w:tcPr>
          <w:p>
            <w:r>
              <w:t>Конструкторская</w:t>
            </w:r>
          </w:p>
        </w:tc>
        <w:tc>
          <w:tcPr>
            <w:tcW w:type="dxa" w:w="5099"/>
          </w:tcPr>
          <w:p>
            <w:r>
              <w:t>кабель, контакты, монтаж</w:t>
            </w:r>
          </w:p>
        </w:tc>
      </w:tr>
      <w:tr>
        <w:tc>
          <w:tcPr>
            <w:tcW w:type="dxa" w:w="5099"/>
          </w:tcPr>
          <w:p>
            <w:r>
              <w:t>Программная</w:t>
            </w:r>
          </w:p>
        </w:tc>
        <w:tc>
          <w:tcPr>
            <w:tcW w:type="dxa" w:w="5099"/>
          </w:tcPr>
          <w:p>
            <w:r>
              <w:t>скорость, формат, адрес, протокол</w:t>
            </w:r>
          </w:p>
        </w:tc>
      </w:tr>
    </w:tbl>
    <w:p>
      <w:r>
        <w:drawing>
          <wp:inline xmlns:a="http://schemas.openxmlformats.org/drawingml/2006/main" xmlns:pic="http://schemas.openxmlformats.org/drawingml/2006/picture">
            <wp:extent cx="5832000" cy="204120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9_rs485_example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694950" w:name="s11"/>
      <w:pPr>
        <w:pStyle w:val="Heading1"/>
      </w:pPr>
      <w:r>
        <w:t>11. SPI и I²C как внутренние интерфейсы</w:t>
      </w:r>
      <w:bookmarkEnd w:id="694950"/>
    </w:p>
    <w:p>
      <w:r>
        <w:t>SPI и I²C часто связывают микроконтроллер с АЦП, ЦАП, памятью и датчиками внутри прибора.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8_serial_examples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312963" w:name="s12"/>
      <w:pPr>
        <w:pStyle w:val="Heading1"/>
      </w:pPr>
      <w:r>
        <w:t>12. RS-485 и Modbus RTU</w:t>
      </w:r>
      <w:bookmarkEnd w:id="312963"/>
    </w:p>
    <w:p>
      <w:r>
        <w:t>В учебном примере RS-485 задаёт электрическую передачу, а Modbus RTU — структуру запросов и ответов. Это пример, а не отдельный пункт КУПД.</w:t>
      </w:r>
    </w:p>
    <w:p>
      <w:bookmarkStart w:id="558273" w:name="s13"/>
      <w:pPr>
        <w:pStyle w:val="Heading1"/>
      </w:pPr>
      <w:r>
        <w:t>13. Диагностика интерфейсного обмена</w:t>
      </w:r>
      <w:bookmarkEnd w:id="558273"/>
    </w:p>
    <w:p>
      <w:r>
        <w:t>Проверяют питание, кабель и контакты, электрические уровни, параметры скорости/формата, адресацию, а затем сообщения и программную обработку.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0_diagnostics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848975" w:name="s14"/>
      <w:pPr>
        <w:pStyle w:val="Heading1"/>
      </w:pPr>
      <w:r>
        <w:t>14. Производственные примеры КИПиА</w:t>
      </w:r>
      <w:bookmarkEnd w:id="848975"/>
    </w:p>
    <w:p>
      <w:r>
        <w:t>Интерфейсы связывают датчики, преобразователи, контроллеры, панели, модули ввода-вывода и сервисные устройства. Параметры определяют по документации.</w:t>
      </w:r>
    </w:p>
    <w:p>
      <w:bookmarkStart w:id="921853" w:name="s15"/>
      <w:pPr>
        <w:pStyle w:val="Heading1"/>
      </w:pPr>
      <w:r>
        <w:t>15. Итоги и контрольные вопросы</w:t>
      </w:r>
      <w:bookmarkEnd w:id="921853"/>
    </w:p>
    <w:p>
      <w:r>
        <w:t>Интерфейс — это согласованная система аппаратных, программных и конструкторских требований.</w:t>
      </w:r>
    </w:p>
    <w:p>
      <w:pPr>
        <w:pStyle w:val="ListNumber"/>
      </w:pPr>
      <w:r>
        <w:t>Каково назначение интерфейса?</w:t>
      </w:r>
    </w:p>
    <w:p>
      <w:pPr>
        <w:pStyle w:val="ListNumber"/>
      </w:pPr>
      <w:r>
        <w:t>Какие три составляющие названы в КУПД?</w:t>
      </w:r>
    </w:p>
    <w:p>
      <w:pPr>
        <w:pStyle w:val="ListNumber"/>
      </w:pPr>
      <w:r>
        <w:t>Что относится к аппаратной части?</w:t>
      </w:r>
    </w:p>
    <w:p>
      <w:pPr>
        <w:pStyle w:val="ListNumber"/>
      </w:pPr>
      <w:r>
        <w:t>Что относится к программной части?</w:t>
      </w:r>
    </w:p>
    <w:p>
      <w:pPr>
        <w:pStyle w:val="ListNumber"/>
      </w:pPr>
      <w:r>
        <w:t>Что относится к конструкторской части?</w:t>
      </w:r>
    </w:p>
    <w:p>
      <w:pPr>
        <w:pStyle w:val="ListNumber"/>
      </w:pPr>
      <w:r>
        <w:t>Почему одинаковый разъём не гарантирует совместимость?</w:t>
      </w:r>
    </w:p>
    <w:p>
      <w:pPr>
        <w:pStyle w:val="ListNumber"/>
      </w:pPr>
      <w:r>
        <w:t>Чем интерфейс отличается от протокола?</w:t>
      </w:r>
    </w:p>
    <w:p>
      <w:pPr>
        <w:pStyle w:val="ListNumber"/>
      </w:pPr>
      <w:r>
        <w:t>Для чего применяют RS-485?</w:t>
      </w:r>
    </w:p>
    <w:p>
      <w:pPr>
        <w:pStyle w:val="ListNumber"/>
      </w:pPr>
      <w:r>
        <w:t>Где применяют SPI и I²C?</w:t>
      </w:r>
    </w:p>
    <w:p>
      <w:pPr>
        <w:pStyle w:val="ListNumber"/>
      </w:pPr>
      <w:r>
        <w:t>Как диагностировать отсутствие связи?</w:t>
      </w:r>
    </w:p>
    <w:p>
      <w:pPr>
        <w:pStyle w:val="Heading1"/>
      </w:pPr>
      <w:r>
        <w:t>Источник и границы материала</w:t>
      </w:r>
    </w:p>
    <w:p>
      <w:r>
        <w:t>Обязательная основа КУПД: назначение интерфейса; аппаратная, программная и конструкторская составляющие; основы функционирования. UART/TTL, RS-232, RS-485, SPI, I²C и Modbus RTU приведены только как учебные примеры.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