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Научить разбирать совместимость интерфейса как совокупность аппаратной, программной и конструкторской составляющих.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Сохранить три составляющие, прямо указанные в КУПД.</w:t>
      </w:r>
    </w:p>
    <w:p>
      <w:pPr>
        <w:pStyle w:val="ListBullet"/>
      </w:pPr>
      <w:r>
        <w:t>RS-485, UART, SPI, I²C и протоколы давать только как примеры.</w:t>
      </w:r>
    </w:p>
    <w:p>
      <w:pPr>
        <w:pStyle w:val="ListBullet"/>
      </w:pPr>
      <w:r>
        <w:t>Не путать физический интерфейс и протокол.</w:t>
      </w:r>
    </w:p>
    <w:p>
      <w:pPr>
        <w:pStyle w:val="ListBullet"/>
      </w:pPr>
      <w:r>
        <w:t>Показывать, что одинаковый разъём не означает совместимость.</w:t>
      </w:r>
    </w:p>
    <w:p>
      <w:pPr>
        <w:pStyle w:val="ListBullet"/>
      </w:pPr>
      <w:r>
        <w:t>Диагностику вести: питание/монтаж → уровни → параметры обмена → формат/протокол.</w:t>
      </w:r>
    </w:p>
    <w:p>
      <w:pPr>
        <w:pStyle w:val="ListBullet"/>
      </w:pPr>
      <w:r>
        <w:t>Внешние устройства и модем оставить теме 5.</w:t>
      </w:r>
    </w:p>
    <w:p>
      <w:pPr>
        <w:pStyle w:val="Heading1"/>
      </w:pPr>
      <w:r>
        <w:t>Граница темы</w:t>
      </w:r>
    </w:p>
    <w:p>
      <w:r>
        <w:t>Тема 4 рассматривает интерфейс как средство взаимодействия. Конкретные внешние устройства относятся к теме 5.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