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3. Устройства ввода и вывода технологических параметров</w:t>
      </w:r>
    </w:p>
    <w:p>
      <w:pPr>
        <w:jc w:val="center"/>
      </w:pPr>
      <w:r>
        <w:t>3 академических часа: 1 ч лекции + 2 ч ЛПЗ</w:t>
        <w:br/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Связать аппаратную структуру каналов ввода-вывода с практическим заданием диапазона и диагностикой по контрольным точкам.</w:t>
      </w:r>
    </w:p>
    <w:p>
      <w:pPr>
        <w:pStyle w:val="Heading1"/>
      </w:pPr>
      <w:r>
        <w:t>Акценты</w:t>
      </w:r>
    </w:p>
    <w:p>
      <w:pPr>
        <w:pStyle w:val="ListBullet"/>
      </w:pPr>
      <w:r>
        <w:t>Не сводить тему только к 4–20 мА: КУПД охватывает аналоговый ввод, АЦП, цифровые датчики, вывод и ЦАП.</w:t>
      </w:r>
    </w:p>
    <w:p>
      <w:pPr>
        <w:pStyle w:val="ListBullet"/>
      </w:pPr>
      <w:r>
        <w:t>4–20 мА, 250 Ом и коды АЦП использовать как учебные примеры.</w:t>
      </w:r>
    </w:p>
    <w:p>
      <w:pPr>
        <w:pStyle w:val="ListBullet"/>
      </w:pPr>
      <w:r>
        <w:t>Разрядность АЦП не отождествлять с полной точностью канала.</w:t>
      </w:r>
    </w:p>
    <w:p>
      <w:pPr>
        <w:pStyle w:val="ListBullet"/>
      </w:pPr>
      <w:r>
        <w:t>Для цифрового датчика показывать код/числовое значение и масштаб.</w:t>
      </w:r>
    </w:p>
    <w:p>
      <w:pPr>
        <w:pStyle w:val="ListBullet"/>
      </w:pPr>
      <w:r>
        <w:t>Диагностику вести по цепочке сигнала.</w:t>
      </w:r>
    </w:p>
    <w:p>
      <w:pPr>
        <w:pStyle w:val="ListBullet"/>
      </w:pPr>
      <w:r>
        <w:t>Использовать существующий тренажёр /op05_microprocessor_io.php.</w:t>
      </w:r>
    </w:p>
    <w:p>
      <w:pPr>
        <w:pStyle w:val="Heading1"/>
      </w:pPr>
      <w:r>
        <w:t>Безопасность и границы</w:t>
      </w:r>
    </w:p>
    <w:p>
      <w:r>
        <w:t>Реальные подключения и допустимые уровни брать из документации конкретного оборудования.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