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1. Микропроцессорные системы</w:t>
      </w:r>
    </w:p>
    <w:p>
      <w:pPr>
        <w:jc w:val="center"/>
      </w:pPr>
      <w:r>
        <w:t>По строке КУПД: всего 2 ч; лекции 1 ч; отдельное ЛПЗ не указано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Сформировать структурную модель: тактирование - вычислительное ядро - память - ввод/вывод - периферия - шины.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Не углубляться в классификацию памяти: это тема 2.</w:t>
      </w:r>
    </w:p>
    <w:p>
      <w:pPr>
        <w:pStyle w:val="ListBullet"/>
      </w:pPr>
      <w:r>
        <w:t>АЦП/ЦАП и технологический ввод-вывод оставить теме 3.</w:t>
      </w:r>
    </w:p>
    <w:p>
      <w:pPr>
        <w:pStyle w:val="ListBullet"/>
      </w:pPr>
      <w:r>
        <w:t>Интерфейсы подробно рассматривать в теме 4, внешние устройства - в теме 5.</w:t>
      </w:r>
    </w:p>
    <w:p>
      <w:pPr>
        <w:pStyle w:val="ListBullet"/>
      </w:pPr>
      <w:r>
        <w:t>Различие микропроцессора и микроконтроллера объяснять через степень интеграции.</w:t>
      </w:r>
    </w:p>
    <w:p>
      <w:pPr>
        <w:pStyle w:val="ListBullet"/>
      </w:pPr>
      <w:r>
        <w:t>Тактовую частоту не отождествлять напрямую с производительностью.</w:t>
      </w:r>
    </w:p>
    <w:p>
      <w:pPr>
        <w:pStyle w:val="ListBullet"/>
      </w:pPr>
      <w:r>
        <w:t>При диагностике сначала проверять питание, RESET, тактирование и обмен.</w:t>
      </w:r>
    </w:p>
    <w:p>
      <w:pPr>
        <w:pStyle w:val="Heading1"/>
      </w:pPr>
      <w:r>
        <w:t>Примечание по часам</w:t>
      </w:r>
    </w:p>
    <w:p>
      <w:r>
        <w:t>КУПД указывает 2 ч всего, 1 ч лекции и отсутствие отдельного ЛПЗ. Задания используются для самостоятельного закрепления.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