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Показать, что метрологическое обеспечение - это система организации измерений, документов, ответственности и установленных процедур.</w:t>
      </w:r>
    </w:p>
    <w:p>
      <w:pPr>
        <w:pStyle w:val="Heading1"/>
      </w:pPr>
      <w:r>
        <w:t>Акценты преподавателя</w:t>
      </w:r>
    </w:p>
    <w:p>
      <w:pPr>
        <w:pStyle w:val="ListBullet"/>
      </w:pPr>
      <w:r>
        <w:t>Сохранять терминологию КУПД и учить проверять актуальную НТД.</w:t>
      </w:r>
    </w:p>
    <w:p>
      <w:pPr>
        <w:pStyle w:val="ListBullet"/>
      </w:pPr>
      <w:r>
        <w:t>Разделять учебное описание функций и официальные полномочия подразделения.</w:t>
      </w:r>
    </w:p>
    <w:p>
      <w:pPr>
        <w:pStyle w:val="ListBullet"/>
      </w:pPr>
      <w:r>
        <w:t>Проверять не только дату документа, но область применения и конкретные требования.</w:t>
      </w:r>
    </w:p>
    <w:p>
      <w:pPr>
        <w:pStyle w:val="ListBullet"/>
      </w:pPr>
      <w:r>
        <w:t>Метрологическую экспертизу проводить как учебный кейс, не как официальное заключение.</w:t>
      </w:r>
    </w:p>
    <w:p>
      <w:pPr>
        <w:pStyle w:val="ListBullet"/>
      </w:pPr>
      <w:r>
        <w:t>При неподтверждённом статусе СИ действовать по процедуре предприятия.</w:t>
      </w:r>
    </w:p>
    <w:p>
      <w:pPr>
        <w:pStyle w:val="ListBullet"/>
      </w:pPr>
      <w:r>
        <w:t>Международные организации раскрывать на уровне назначения, указанного программой.</w:t>
      </w:r>
    </w:p>
    <w:p>
      <w:pPr>
        <w:pStyle w:val="Heading1"/>
      </w:pPr>
      <w:r>
        <w:t>Актуальность нормативных процедур</w:t>
      </w:r>
    </w:p>
    <w:p>
      <w:r>
        <w:t>Конкретные действующие процедуры контроля, испытаний, утверждения типов, поверки, калибровки, экспертизы и полномочия организаций следует преподавать по актуальным нормативным документам и локальным процедурам.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