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4. Метрологическое обеспечение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pPr>
        <w:pStyle w:val="Heading2"/>
      </w:pPr>
      <w:r>
        <w:t>Карточка 1</w:t>
      </w:r>
    </w:p>
    <w:p>
      <w:r>
        <w:t>Что включает метрологическое обеспечение в логике темы?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2</w:t>
      </w:r>
    </w:p>
    <w:p>
      <w:r>
        <w:t>Назовите организационные, научные и методические основы.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3</w:t>
      </w:r>
    </w:p>
    <w:p>
      <w:r>
        <w:t>Какова общая роль метрологической службы РФ в учебной схеме?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4</w:t>
      </w:r>
    </w:p>
    <w:p>
      <w:r>
        <w:t>Какие объекты и документы могут потребовать проверки по установленному порядку?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5</w:t>
      </w:r>
    </w:p>
    <w:p>
      <w:r>
        <w:t>Почему испытание СИ выполняется по установленной процедуре?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6</w:t>
      </w:r>
    </w:p>
    <w:p>
      <w:r>
        <w:t>Назовите группы задач метрологической службы предприятия.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7</w:t>
      </w:r>
    </w:p>
    <w:p>
      <w:r>
        <w:t>Почему идентификация и учёт СИ важны?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8</w:t>
      </w:r>
    </w:p>
    <w:p>
      <w:r>
        <w:t>Что проверить для подтверждения актуальности НТД?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9</w:t>
      </w:r>
    </w:p>
    <w:p>
      <w:r>
        <w:t>Какие метрологические вопросы проверяются в учебной документации?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10</w:t>
      </w:r>
    </w:p>
    <w:p>
      <w:r>
        <w:t>Как международное взаимодействие связано с сопоставимостью измерений?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11</w:t>
      </w:r>
    </w:p>
    <w:p>
      <w:r>
        <w:t>Что делать слесарю, если статус СИ не подтверждён?</w:t>
      </w:r>
    </w:p>
    <w:p>
      <w:r>
        <w:t>Ответ: ________________________________________________________________</w:t>
      </w:r>
    </w:p>
    <w:p>
      <w:pPr>
        <w:pStyle w:val="Heading2"/>
      </w:pPr>
      <w:r>
        <w:t>Карточка 12</w:t>
      </w:r>
    </w:p>
    <w:p>
      <w:r>
        <w:t>Почему учебный конспект не заменяет официальную процедуру?</w:t>
      </w:r>
    </w:p>
    <w:p>
      <w:r>
        <w:t>Ответ: 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