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  <w:vAlign w:val="center"/>
          </w:tcPr>
          <w:p>
            <w:r>
              <w:t>Дисциплина</w:t>
            </w:r>
          </w:p>
        </w:tc>
        <w:tc>
          <w:tcPr>
            <w:tcW w:type="dxa" w:w="5099"/>
            <w:vAlign w:val="center"/>
          </w:tcPr>
          <w:p>
            <w:r>
              <w:t>ОП.04 «Основы метрологии»</w:t>
            </w:r>
          </w:p>
        </w:tc>
      </w:tr>
      <w:tr>
        <w:tc>
          <w:tcPr>
            <w:tcW w:type="dxa" w:w="5099"/>
            <w:vAlign w:val="center"/>
          </w:tcPr>
          <w:p>
            <w:r>
              <w:t>Тема</w:t>
            </w:r>
          </w:p>
        </w:tc>
        <w:tc>
          <w:tcPr>
            <w:tcW w:type="dxa" w:w="5099"/>
            <w:vAlign w:val="center"/>
          </w:tcPr>
          <w:p>
            <w:r>
              <w:t>Тема 3. Средства, методы и погрешность измерения</w:t>
            </w:r>
          </w:p>
        </w:tc>
      </w:tr>
      <w:tr>
        <w:tc>
          <w:tcPr>
            <w:tcW w:type="dxa" w:w="5099"/>
            <w:vAlign w:val="center"/>
          </w:tcPr>
          <w:p>
            <w:r>
              <w:t>Часы</w:t>
            </w:r>
          </w:p>
        </w:tc>
        <w:tc>
          <w:tcPr>
            <w:tcW w:type="dxa" w:w="5099"/>
            <w:vAlign w:val="center"/>
          </w:tcPr>
          <w:p>
            <w:r>
              <w:t>1 академический час: 0,5 ч лекции + 0,5 ч ЛПЗ</w:t>
            </w:r>
          </w:p>
        </w:tc>
      </w:tr>
      <w:tr>
        <w:tc>
          <w:tcPr>
            <w:tcW w:type="dxa" w:w="5099"/>
            <w:vAlign w:val="center"/>
          </w:tcPr>
          <w:p>
            <w:r>
              <w:t>Источник</w:t>
            </w:r>
          </w:p>
        </w:tc>
        <w:tc>
          <w:tcPr>
            <w:tcW w:type="dxa" w:w="5099"/>
            <w:vAlign w:val="center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Измерения и их виды</w:t>
        </w:r>
      </w:hyperlink>
    </w:p>
    <w:p>
      <w:hyperlink w:anchor="s2" w:history="1">
        <w:r>
          <w:rPr>
            <w:color w:val="0563C1"/>
            <w:u w:val="single"/>
          </w:rPr>
          <w:t>2. Прямые измерения</w:t>
        </w:r>
      </w:hyperlink>
    </w:p>
    <w:p>
      <w:hyperlink w:anchor="s3" w:history="1">
        <w:r>
          <w:rPr>
            <w:color w:val="0563C1"/>
            <w:u w:val="single"/>
          </w:rPr>
          <w:t>3. Косвенные измерения</w:t>
        </w:r>
      </w:hyperlink>
    </w:p>
    <w:p>
      <w:hyperlink w:anchor="s4" w:history="1">
        <w:r>
          <w:rPr>
            <w:color w:val="0563C1"/>
            <w:u w:val="single"/>
          </w:rPr>
          <w:t>4. Совокупные измерения</w:t>
        </w:r>
      </w:hyperlink>
    </w:p>
    <w:p>
      <w:hyperlink w:anchor="s5" w:history="1">
        <w:r>
          <w:rPr>
            <w:color w:val="0563C1"/>
            <w:u w:val="single"/>
          </w:rPr>
          <w:t>5. Равноточные и неравноточные измерения</w:t>
        </w:r>
      </w:hyperlink>
    </w:p>
    <w:p>
      <w:hyperlink w:anchor="s6" w:history="1">
        <w:r>
          <w:rPr>
            <w:color w:val="0563C1"/>
            <w:u w:val="single"/>
          </w:rPr>
          <w:t>6. Однократные и многократные измерения</w:t>
        </w:r>
      </w:hyperlink>
    </w:p>
    <w:p>
      <w:hyperlink w:anchor="s7" w:history="1">
        <w:r>
          <w:rPr>
            <w:color w:val="0563C1"/>
            <w:u w:val="single"/>
          </w:rPr>
          <w:t>7. Классы точности и нормируемые метрологические характеристики</w:t>
        </w:r>
      </w:hyperlink>
    </w:p>
    <w:p>
      <w:hyperlink w:anchor="s8" w:history="1">
        <w:r>
          <w:rPr>
            <w:color w:val="0563C1"/>
            <w:u w:val="single"/>
          </w:rPr>
          <w:t>8. Погрешность измерения</w:t>
        </w:r>
      </w:hyperlink>
    </w:p>
    <w:p>
      <w:hyperlink w:anchor="s81" w:history="1">
        <w:r>
          <w:rPr>
            <w:color w:val="0563C1"/>
            <w:u w:val="single"/>
          </w:rPr>
          <w:t>8.1. Учебные формы представления погрешности</w:t>
        </w:r>
      </w:hyperlink>
    </w:p>
    <w:p>
      <w:hyperlink w:anchor="s9" w:history="1">
        <w:r>
          <w:rPr>
            <w:color w:val="0563C1"/>
            <w:u w:val="single"/>
          </w:rPr>
          <w:t>9. Систематические погрешности</w:t>
        </w:r>
      </w:hyperlink>
    </w:p>
    <w:p>
      <w:hyperlink w:anchor="s10" w:history="1">
        <w:r>
          <w:rPr>
            <w:color w:val="0563C1"/>
            <w:u w:val="single"/>
          </w:rPr>
          <w:t>10. Случайные погрешности</w:t>
        </w:r>
      </w:hyperlink>
    </w:p>
    <w:p>
      <w:hyperlink w:anchor="s11" w:history="1">
        <w:r>
          <w:rPr>
            <w:color w:val="0563C1"/>
            <w:u w:val="single"/>
          </w:rPr>
          <w:t>11. Грубые погрешности</w:t>
        </w:r>
      </w:hyperlink>
    </w:p>
    <w:p>
      <w:hyperlink w:anchor="s12" w:history="1">
        <w:r>
          <w:rPr>
            <w:color w:val="0563C1"/>
            <w:u w:val="single"/>
          </w:rPr>
          <w:t>12. Обработка результатов измерений</w:t>
        </w:r>
      </w:hyperlink>
    </w:p>
    <w:p>
      <w:hyperlink w:anchor="s13" w:history="1">
        <w:r>
          <w:rPr>
            <w:color w:val="0563C1"/>
            <w:u w:val="single"/>
          </w:rPr>
          <w:t>13. Индикаторы часового типа</w:t>
        </w:r>
      </w:hyperlink>
    </w:p>
    <w:p>
      <w:hyperlink w:anchor="s14" w:history="1">
        <w:r>
          <w:rPr>
            <w:color w:val="0563C1"/>
            <w:u w:val="single"/>
          </w:rPr>
          <w:t>14. Определение углов угломером</w:t>
        </w:r>
      </w:hyperlink>
    </w:p>
    <w:p>
      <w:hyperlink w:anchor="s15" w:history="1">
        <w:r>
          <w:rPr>
            <w:color w:val="0563C1"/>
            <w:u w:val="single"/>
          </w:rPr>
          <w:t>15. Контроль элементов резьбы</w:t>
        </w:r>
      </w:hyperlink>
    </w:p>
    <w:p>
      <w:hyperlink w:anchor="s16" w:history="1">
        <w:r>
          <w:rPr>
            <w:color w:val="0563C1"/>
            <w:u w:val="single"/>
          </w:rPr>
          <w:t>16. Итоги и контрольные вопросы</w:t>
        </w:r>
      </w:hyperlink>
    </w:p>
    <w:p>
      <w:bookmarkStart w:id="783144" w:name="s1"/>
      <w:pPr>
        <w:pStyle w:val="Heading1"/>
      </w:pPr>
      <w:r>
        <w:t>1. Измерения и их виды</w:t>
      </w:r>
      <w:bookmarkEnd w:id="783144"/>
    </w:p>
    <w:p>
      <w:r>
        <w:t>КУПД начинает тему с классификации измерений. Вид измерения характеризует способ получения и организации результата; один и тот же объект может измеряться разными методами в зависимости от задачи.</w:t>
      </w:r>
    </w:p>
    <w:p>
      <w:r>
        <w:drawing>
          <wp:inline xmlns:a="http://schemas.openxmlformats.org/drawingml/2006/main" xmlns:pic="http://schemas.openxmlformats.org/drawingml/2006/picture">
            <wp:extent cx="5832000" cy="243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easurement_type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6929" w:name="s2"/>
      <w:pPr>
        <w:pStyle w:val="Heading1"/>
      </w:pPr>
      <w:r>
        <w:t>2. Прямые измерения</w:t>
      </w:r>
      <w:bookmarkEnd w:id="846929"/>
    </w:p>
    <w:p>
      <w:r>
        <w:t>При прямом измерении значение искомой величины получают непосредственно из результата измерительной операции или отсчёта средства, предусмотренного методом. Учебный пример: длина детали по отсчёту измерительного средства.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direc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79361" w:name="s3"/>
      <w:pPr>
        <w:pStyle w:val="Heading1"/>
      </w:pPr>
      <w:r>
        <w:t>3. Косвенные измерения</w:t>
      </w:r>
      <w:bookmarkEnd w:id="279361"/>
    </w:p>
    <w:p>
      <w:r>
        <w:t>При косвенном измерении искомую величину определяют расчётом по результатам измерения других величин, связанных с ней известной зависимостью. Учебный пример: сопротивление по измеренным напряжению и току при применимости выбранной зависимости.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indirect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7577" w:name="s4"/>
      <w:pPr>
        <w:pStyle w:val="Heading1"/>
      </w:pPr>
      <w:r>
        <w:t>4. Совокупные измерения</w:t>
      </w:r>
      <w:bookmarkEnd w:id="57577"/>
    </w:p>
    <w:p>
      <w:r>
        <w:t>Совокупные измерения используют совместные результаты измерений нескольких одноимённых или связанных величин и систему соотношений для определения искомых значений. Для данной темы важно понимание принципа, а не развёрнутая математическая обработка.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aggregat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99968" w:name="s5"/>
      <w:pPr>
        <w:pStyle w:val="Heading1"/>
      </w:pPr>
      <w:r>
        <w:t>5. Равноточные и неравноточные измерения</w:t>
      </w:r>
      <w:bookmarkEnd w:id="399968"/>
    </w:p>
    <w:p>
      <w:r>
        <w:t>КУПД требует различать равноточные и неравноточные измерения. В учебном объяснении равноточность связывают с сопоставимыми условиями и характеристиками выполнения измерений; конкретные критерии задаёт методика.</w:t>
      </w:r>
    </w:p>
    <w:p>
      <w:r>
        <w:drawing>
          <wp:inline xmlns:a="http://schemas.openxmlformats.org/drawingml/2006/main" xmlns:pic="http://schemas.openxmlformats.org/drawingml/2006/picture">
            <wp:extent cx="5832000" cy="2430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easurement_type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37019" w:name="s6"/>
      <w:pPr>
        <w:pStyle w:val="Heading1"/>
      </w:pPr>
      <w:r>
        <w:t>6. Однократные и многократные измерения</w:t>
      </w:r>
      <w:bookmarkEnd w:id="437019"/>
    </w:p>
    <w:p>
      <w:r>
        <w:t>Однократное измерение даёт один результат измерительной операции. Многократные измерения формируют ряд результатов, который затем обрабатывается по установленной методике. Само наличие нескольких чисел ещё не определяет способ статистической обработки.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random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20596" w:name="s7"/>
      <w:pPr>
        <w:pStyle w:val="Heading1"/>
      </w:pPr>
      <w:r>
        <w:t>7. Классы точности и нормируемые метрологические характеристики</w:t>
      </w:r>
      <w:bookmarkEnd w:id="520596"/>
    </w:p>
    <w:p>
      <w:r>
        <w:t>Класс точности и другие метрологические характеристики средства задаются нормативной и технической документацией. КУПД требует рассмотреть нормируемые характеристики, но конкретное толкование обозначения класса зависит от вида средства и его документации.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Характеристика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  <w:vAlign w:val="center"/>
          </w:tcPr>
          <w:p>
            <w:r>
              <w:t>Класс точности</w:t>
            </w:r>
          </w:p>
        </w:tc>
        <w:tc>
          <w:tcPr>
            <w:tcW w:type="dxa" w:w="5099"/>
            <w:vAlign w:val="center"/>
          </w:tcPr>
          <w:p>
            <w:r>
              <w:t>обобщённое нормируемое обозначение точностных свойств конкретного типа средства</w:t>
            </w:r>
          </w:p>
        </w:tc>
      </w:tr>
      <w:tr>
        <w:tc>
          <w:tcPr>
            <w:tcW w:type="dxa" w:w="5099"/>
            <w:vAlign w:val="center"/>
          </w:tcPr>
          <w:p>
            <w:r>
              <w:t>Диапазон измерений</w:t>
            </w:r>
          </w:p>
        </w:tc>
        <w:tc>
          <w:tcPr>
            <w:tcW w:type="dxa" w:w="5099"/>
            <w:vAlign w:val="center"/>
          </w:tcPr>
          <w:p>
            <w:r>
              <w:t>область значений, для которой нормируется работа средства</w:t>
            </w:r>
          </w:p>
        </w:tc>
      </w:tr>
      <w:tr>
        <w:tc>
          <w:tcPr>
            <w:tcW w:type="dxa" w:w="5099"/>
            <w:vAlign w:val="center"/>
          </w:tcPr>
          <w:p>
            <w:r>
              <w:t>Цена деления / дискретность</w:t>
            </w:r>
          </w:p>
        </w:tc>
        <w:tc>
          <w:tcPr>
            <w:tcW w:type="dxa" w:w="5099"/>
            <w:vAlign w:val="center"/>
          </w:tcPr>
          <w:p>
            <w:r>
              <w:t>характеристика отсчётного устройства, если применима</w:t>
            </w:r>
          </w:p>
        </w:tc>
      </w:tr>
      <w:tr>
        <w:tc>
          <w:tcPr>
            <w:tcW w:type="dxa" w:w="5099"/>
            <w:vAlign w:val="center"/>
          </w:tcPr>
          <w:p>
            <w:r>
              <w:t>Чувствительность</w:t>
            </w:r>
          </w:p>
        </w:tc>
        <w:tc>
          <w:tcPr>
            <w:tcW w:type="dxa" w:w="5099"/>
            <w:vAlign w:val="center"/>
          </w:tcPr>
          <w:p>
            <w:r>
              <w:t>реакция средства на изменение измеряемой величины, если нормируется</w:t>
            </w:r>
          </w:p>
        </w:tc>
      </w:tr>
      <w:tr>
        <w:tc>
          <w:tcPr>
            <w:tcW w:type="dxa" w:w="5099"/>
            <w:vAlign w:val="center"/>
          </w:tcPr>
          <w:p>
            <w:r>
              <w:t>Вариация и другие параметры</w:t>
            </w:r>
          </w:p>
        </w:tc>
        <w:tc>
          <w:tcPr>
            <w:tcW w:type="dxa" w:w="5099"/>
            <w:vAlign w:val="center"/>
          </w:tcPr>
          <w:p>
            <w:r>
              <w:t>трактуются по документации конкретного средства</w:t>
            </w:r>
          </w:p>
        </w:tc>
      </w:tr>
    </w:tbl>
    <w:p>
      <w:bookmarkStart w:id="485365" w:name="s8"/>
      <w:pPr>
        <w:pStyle w:val="Heading1"/>
      </w:pPr>
      <w:r>
        <w:t>8. Погрешность измерения</w:t>
      </w:r>
      <w:bookmarkEnd w:id="485365"/>
    </w:p>
    <w:p>
      <w:r>
        <w:t>КУПД включает погрешности измерений и причины их возникновения. В учебной работе погрешность рассматривают как расхождение результата с принятым опорным значением/оценкой в конкретной задаче. Практическое вычисление и допустимые пределы определяет методика.</w:t>
      </w:r>
    </w:p>
    <w:p>
      <w:r>
        <w:drawing>
          <wp:inline xmlns:a="http://schemas.openxmlformats.org/drawingml/2006/main" xmlns:pic="http://schemas.openxmlformats.org/drawingml/2006/picture">
            <wp:extent cx="5832000" cy="2430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error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80452" w:name="s81"/>
      <w:pPr>
        <w:pStyle w:val="Heading2"/>
      </w:pPr>
      <w:r>
        <w:t>8.1. Учебные формы представления погрешности</w:t>
      </w:r>
      <w:bookmarkEnd w:id="780452"/>
    </w:p>
    <w:p>
      <w:r>
        <w:t>Для объяснения можно использовать абсолютную, относительную и приведённую формы. Это учебное расширение, а не дословный текст КУПД. Формулы и нормирующее значение в реальной работе выбирают по документации.</w:t>
      </w:r>
    </w:p>
    <w:p>
      <w:r>
        <w:t>Учебная запись:</w:t>
      </w:r>
    </w:p>
    <w:p>
      <w:r>
        <w:t>Δ = Xизм − Xоп</w:t>
      </w:r>
    </w:p>
    <w:p>
      <w:r>
        <w:t>δ = (Δ / Xоп) × 100 %</w:t>
      </w:r>
    </w:p>
    <w:p>
      <w:r>
        <w:t>Для приведённой формы используется нормирующее значение XN: γ = (Δ / XN) × 100 %. Выбор XN и правила применения определяет документация.</w:t>
      </w:r>
    </w:p>
    <w:p>
      <w:r>
        <w:t>Важно: Xоп здесь — принятое опорное значение учебной задачи, а не утверждение о доступности «истинного значения».</w:t>
      </w:r>
    </w:p>
    <w:p>
      <w:bookmarkStart w:id="701152" w:name="s9"/>
      <w:pPr>
        <w:pStyle w:val="Heading1"/>
      </w:pPr>
      <w:r>
        <w:t>9. Систематические погрешности</w:t>
      </w:r>
      <w:bookmarkEnd w:id="701152"/>
    </w:p>
    <w:p>
      <w:r>
        <w:t>Систематическая составляющая проявляется закономерно: например, как устойчивое смещение при повторении измерений в сходных условиях. КУПД требует рассмотреть причины и методы исключения систематических погрешностей.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systematic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35469" w:name="s10"/>
      <w:pPr>
        <w:pStyle w:val="Heading1"/>
      </w:pPr>
      <w:r>
        <w:t>10. Случайные погрешности</w:t>
      </w:r>
      <w:bookmarkEnd w:id="335469"/>
    </w:p>
    <w:p>
      <w:r>
        <w:t>Случайная составляющая проявляется как разброс повторных результатов. Для оценки используют серию наблюдений и обработку по принятой методике; тема формирует понимание необходимости повторений и корректной обработки, а не произвольного усреднения.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random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02042" w:name="s11"/>
      <w:pPr>
        <w:pStyle w:val="Heading1"/>
      </w:pPr>
      <w:r>
        <w:t>11. Грубые погрешности</w:t>
      </w:r>
      <w:bookmarkEnd w:id="402042"/>
    </w:p>
    <w:p>
      <w:r>
        <w:t>Грубые погрешности могут возникать из-за явной ошибки считывания, записи, подключения, выбора диапазона или нарушения условий. Подозрительное значение сначала проверяют; исключение результата выполняют только на обоснованном основании по принятой методике.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gros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18798" w:name="s12"/>
      <w:pPr>
        <w:pStyle w:val="Heading1"/>
      </w:pPr>
      <w:r>
        <w:t>12. Обработка результатов измерений</w:t>
      </w:r>
      <w:bookmarkEnd w:id="818798"/>
    </w:p>
    <w:p>
      <w:r>
        <w:t>Обработка начинается с проверки исходных записей, условий и единиц. Далее применяется установленный алгоритм методики: расчёт, оценка, округление и оформление. Прослеживаемость исходных данных важна для проверки результата.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rPr>
          <w:tblHeader w:val="true"/>
        </w:trPr>
        <w:tc>
          <w:tcPr>
            <w:tcW w:type="dxa" w:w="5099"/>
            <w:vAlign w:val="center"/>
          </w:tcPr>
          <w:p>
            <w:r>
              <w:rPr>
                <w:b/>
              </w:rPr>
              <w:t>Этап</w:t>
            </w:r>
          </w:p>
        </w:tc>
        <w:tc>
          <w:tcPr>
            <w:tcW w:type="dxa" w:w="5099"/>
            <w:vAlign w:val="center"/>
          </w:tcPr>
          <w:p>
            <w:r>
              <w:rPr>
                <w:b/>
              </w:rPr>
              <w:t>Что проверяют</w:t>
            </w:r>
          </w:p>
        </w:tc>
      </w:tr>
      <w:tr>
        <w:tc>
          <w:tcPr>
            <w:tcW w:type="dxa" w:w="5099"/>
            <w:vAlign w:val="center"/>
          </w:tcPr>
          <w:p>
            <w:r>
              <w:t>Исходные данные</w:t>
            </w:r>
          </w:p>
        </w:tc>
        <w:tc>
          <w:tcPr>
            <w:tcW w:type="dxa" w:w="5099"/>
            <w:vAlign w:val="center"/>
          </w:tcPr>
          <w:p>
            <w:r>
              <w:t>полноту записей, единицы, условия</w:t>
            </w:r>
          </w:p>
        </w:tc>
      </w:tr>
      <w:tr>
        <w:tc>
          <w:tcPr>
            <w:tcW w:type="dxa" w:w="5099"/>
            <w:vAlign w:val="center"/>
          </w:tcPr>
          <w:p>
            <w:r>
              <w:t>Подозрительные значения</w:t>
            </w:r>
          </w:p>
        </w:tc>
        <w:tc>
          <w:tcPr>
            <w:tcW w:type="dxa" w:w="5099"/>
            <w:vAlign w:val="center"/>
          </w:tcPr>
          <w:p>
            <w:r>
              <w:t>ошибки считывания, записи, установки, подключения</w:t>
            </w:r>
          </w:p>
        </w:tc>
      </w:tr>
      <w:tr>
        <w:tc>
          <w:tcPr>
            <w:tcW w:type="dxa" w:w="5099"/>
            <w:vAlign w:val="center"/>
          </w:tcPr>
          <w:p>
            <w:r>
              <w:t>Расчёт</w:t>
            </w:r>
          </w:p>
        </w:tc>
        <w:tc>
          <w:tcPr>
            <w:tcW w:type="dxa" w:w="5099"/>
            <w:vAlign w:val="center"/>
          </w:tcPr>
          <w:p>
            <w:r>
              <w:t>алгоритм, предусмотренный методикой</w:t>
            </w:r>
          </w:p>
        </w:tc>
      </w:tr>
      <w:tr>
        <w:tc>
          <w:tcPr>
            <w:tcW w:type="dxa" w:w="5099"/>
            <w:vAlign w:val="center"/>
          </w:tcPr>
          <w:p>
            <w:r>
              <w:t>Округление</w:t>
            </w:r>
          </w:p>
        </w:tc>
        <w:tc>
          <w:tcPr>
            <w:tcW w:type="dxa" w:w="5099"/>
            <w:vAlign w:val="center"/>
          </w:tcPr>
          <w:p>
            <w:r>
              <w:t>по принятому правилу</w:t>
            </w:r>
          </w:p>
        </w:tc>
      </w:tr>
      <w:tr>
        <w:tc>
          <w:tcPr>
            <w:tcW w:type="dxa" w:w="5099"/>
            <w:vAlign w:val="center"/>
          </w:tcPr>
          <w:p>
            <w:r>
              <w:t>Оформление</w:t>
            </w:r>
          </w:p>
        </w:tc>
        <w:tc>
          <w:tcPr>
            <w:tcW w:type="dxa" w:w="5099"/>
            <w:vAlign w:val="center"/>
          </w:tcPr>
          <w:p>
            <w:r>
              <w:t>значение, единица и требуемая сопроводительная информация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898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processing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38077" w:name="s13"/>
      <w:pPr>
        <w:pStyle w:val="Heading1"/>
      </w:pPr>
      <w:r>
        <w:t>13. Индикаторы часового типа</w:t>
      </w:r>
      <w:bookmarkEnd w:id="738077"/>
    </w:p>
    <w:p>
      <w:r>
        <w:t>КУПД предусматривает изучение устройства и технологических возможностей индикаторов часового типа. Учебно выделяются измерительный наконечник, передаточный механизм, стрелочный отсчёт и шкала. Конкретные диапазон и цена деления определяются документацией на прибор.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ial_indicato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85957" w:name="s14"/>
      <w:pPr>
        <w:pStyle w:val="Heading1"/>
      </w:pPr>
      <w:r>
        <w:t>14. Определение углов угломером</w:t>
      </w:r>
      <w:bookmarkEnd w:id="885957"/>
    </w:p>
    <w:p>
      <w:r>
        <w:t>Практика предусматривает измерение угла угломером. Перед работой определяют диапазон, отсчётное устройство и порядок установки по документации конкретного средства, затем записывают результат с единицей.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angle_gau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20299" w:name="s15"/>
      <w:pPr>
        <w:pStyle w:val="Heading1"/>
      </w:pPr>
      <w:r>
        <w:t>15. Контроль элементов резьбы</w:t>
      </w:r>
      <w:bookmarkEnd w:id="520299"/>
    </w:p>
    <w:p>
      <w:r>
        <w:t>КУПД предусматривает резьбомер, резьбовой микрометр и резьбовые калибры. Они решают разные задачи: сопоставление профиля/шага, размерное измерение и предельный контроль. Решение о применении конкретного средства принимают по задаче и документации.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thread_tool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17139" w:name="s16"/>
      <w:pPr>
        <w:pStyle w:val="Heading1"/>
      </w:pPr>
      <w:r>
        <w:t>16. Итоги и контрольные вопросы</w:t>
      </w:r>
      <w:bookmarkEnd w:id="217139"/>
    </w:p>
    <w:p>
      <w:r>
        <w:t>Тема связывает вид измерения, характеристики средства, природу погрешности и обработку результатов. Главный практический вывод: результат нельзя оценивать отдельно от метода, условий, документации и порядка обработки.</w:t>
      </w:r>
    </w:p>
    <w:p>
      <w:pPr>
        <w:pStyle w:val="ListNumber"/>
      </w:pPr>
      <w:r>
        <w:t>Чем прямое измерение отличается от косвенного?</w:t>
      </w:r>
    </w:p>
    <w:p>
      <w:pPr>
        <w:pStyle w:val="ListNumber"/>
      </w:pPr>
      <w:r>
        <w:t>В чём идея совокупных измерений?</w:t>
      </w:r>
    </w:p>
    <w:p>
      <w:pPr>
        <w:pStyle w:val="ListNumber"/>
      </w:pPr>
      <w:r>
        <w:t>Что означает равноточность в рамках методики?</w:t>
      </w:r>
    </w:p>
    <w:p>
      <w:pPr>
        <w:pStyle w:val="ListNumber"/>
      </w:pPr>
      <w:r>
        <w:t>Чем однократное измерение отличается от многократного?</w:t>
      </w:r>
    </w:p>
    <w:p>
      <w:pPr>
        <w:pStyle w:val="ListNumber"/>
      </w:pPr>
      <w:r>
        <w:t>Почему класс точности нельзя трактовать без документации?</w:t>
      </w:r>
    </w:p>
    <w:p>
      <w:pPr>
        <w:pStyle w:val="ListNumber"/>
      </w:pPr>
      <w:r>
        <w:t>Как проявляется систематическая погрешность?</w:t>
      </w:r>
    </w:p>
    <w:p>
      <w:pPr>
        <w:pStyle w:val="ListNumber"/>
      </w:pPr>
      <w:r>
        <w:t>Как проявляется случайная погрешность?</w:t>
      </w:r>
    </w:p>
    <w:p>
      <w:pPr>
        <w:pStyle w:val="ListNumber"/>
      </w:pPr>
      <w:r>
        <w:t>Что может привести к грубой погрешности?</w:t>
      </w:r>
    </w:p>
    <w:p>
      <w:pPr>
        <w:pStyle w:val="ListNumber"/>
      </w:pPr>
      <w:r>
        <w:t>Почему подозрительный результат нельзя удалять произвольно?</w:t>
      </w:r>
    </w:p>
    <w:p>
      <w:pPr>
        <w:pStyle w:val="ListNumber"/>
      </w:pPr>
      <w:r>
        <w:t>Что входит в обработку результатов?</w:t>
      </w:r>
    </w:p>
    <w:p>
      <w:pPr>
        <w:pStyle w:val="ListNumber"/>
      </w:pPr>
      <w:r>
        <w:t>Какие узлы индикатора часового типа влияют на получение отсчёта?</w:t>
      </w:r>
    </w:p>
    <w:p>
      <w:pPr>
        <w:pStyle w:val="ListNumber"/>
      </w:pPr>
      <w:r>
        <w:t>Какие средства КУПД предусматривает для изучения элементов резьбы?</w:t>
      </w:r>
    </w:p>
    <w:p>
      <w:pPr>
        <w:pStyle w:val="Heading1"/>
      </w:pPr>
      <w:r>
        <w:t>Источник и границы материала</w:t>
      </w:r>
    </w:p>
    <w:p>
      <w:r>
        <w:t>Основа содержания — КУПД, тема 3 ОП.04. Учебные пояснения, формулы и примеры добавлены для раскрытия понятий и явно отделены от формулировок КУПД. Нормативные правила расчёта и допустимые пределы необходимо брать из методик и технической документации конкретных средств измерений.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