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Методические указания преподавателю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3. Средства, методы и погрешность измерения</w:t>
      </w:r>
    </w:p>
    <w:p>
      <w:pPr>
        <w:jc w:val="center"/>
      </w:pPr>
      <w:r>
        <w:t>1 академический час: 0,5 ч лекции + 0,5 ч ЛПЗ</w:t>
        <w:br/>
        <w:t>КУПД «Слесарь по КИПиА» от 21.04.2026 № УПД-15</w:t>
      </w:r>
    </w:p>
    <w:p>
      <w:pPr>
        <w:pStyle w:val="Heading1"/>
      </w:pPr>
      <w:r>
        <w:t>Методическая цель</w:t>
      </w:r>
    </w:p>
    <w:p>
      <w:r>
        <w:t>Показать обучающемуся, что вид измерения, свойства средства, условия и способ обработки результатов определяют смысл и качество результата.</w:t>
      </w:r>
    </w:p>
    <w:p>
      <w:pPr>
        <w:pStyle w:val="Heading1"/>
      </w:pPr>
      <w:r>
        <w:t>Акценты</w:t>
      </w:r>
    </w:p>
    <w:p>
      <w:pPr>
        <w:pStyle w:val="ListBullet"/>
      </w:pPr>
      <w:r>
        <w:t>Не смешивать вид измерения с типом средства измерений.</w:t>
      </w:r>
    </w:p>
    <w:p>
      <w:pPr>
        <w:pStyle w:val="ListBullet"/>
      </w:pPr>
      <w:r>
        <w:t>Класс точности разбирать только вместе с обозначением и технической документацией конкретного средства.</w:t>
      </w:r>
    </w:p>
    <w:p>
      <w:pPr>
        <w:pStyle w:val="ListBullet"/>
      </w:pPr>
      <w:r>
        <w:t>Систематическую, случайную и грубую составляющие показывать через характер проявления, а не только через определения.</w:t>
      </w:r>
    </w:p>
    <w:p>
      <w:pPr>
        <w:pStyle w:val="ListBullet"/>
      </w:pPr>
      <w:r>
        <w:t>Не учить произвольному отбрасыванию результатов. Исключение/обработка выполняется по методике.</w:t>
      </w:r>
    </w:p>
    <w:p>
      <w:pPr>
        <w:pStyle w:val="ListBullet"/>
      </w:pPr>
      <w:r>
        <w:t>Приборные характеристики — диапазон, цена деления, чувствительность и другие — брать из паспорта/руководства применяемого средства.</w:t>
      </w:r>
    </w:p>
    <w:p>
      <w:pPr>
        <w:pStyle w:val="ListBullet"/>
      </w:pPr>
      <w:r>
        <w:t>Практику по индикатору, угломеру и резьбовым средствам выполнять на учебных образцах.</w:t>
      </w:r>
    </w:p>
    <w:p>
      <w:pPr>
        <w:pStyle w:val="Heading1"/>
      </w:pPr>
      <w:r>
        <w:t>Учебные формулы</w:t>
      </w:r>
    </w:p>
    <w:p>
      <w:r>
        <w:t>Для объяснения могут использоваться общеупотребительные учебные записи абсолютной и относительной погрешности, но необходимо оговорить: это пояснение, а не цитата КУПД; реальный расчёт выполняется по принятой методике и документации.</w:t>
      </w:r>
    </w:p>
    <w:p>
      <w:r>
        <w:t>Учебный пример: Δ = Xизм − Xоп; δ = Δ / Xоп × 100 %. Здесь Xоп — принятое опорное значение в учебной задаче.</w:t>
      </w:r>
    </w:p>
    <w:p>
      <w:pPr>
        <w:pStyle w:val="Heading1"/>
      </w:pPr>
      <w:r>
        <w:t>Граница темы</w:t>
      </w:r>
    </w:p>
    <w:p>
      <w:r>
        <w:t>Законодательство, метрологическая служба предприятия, государственный метрологический контроль, испытания и экспертиза относятся к теме 4.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