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Полный конспект лекции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2. Качество измерений и способы его достижения</w:t>
      </w:r>
    </w:p>
    <w:p>
      <w:pPr>
        <w:jc w:val="center"/>
      </w:pPr>
      <w:r>
        <w:rPr>
          <w:i/>
        </w:rPr>
        <w:t>Расширенный материал для самостоятельного повторения</w:t>
      </w:r>
    </w:p>
    <w:p>
      <w:pPr>
        <w:jc w:val="center"/>
      </w:pPr>
      <w:r>
        <w:t>По строке КУПД: всего 2 ч; лекции 0,5 ч; ЛПЗ 1 ч</w:t>
        <w:br/>
        <w:t>КУПД «Слесарь по КИПиА» от 21.04.2026 № УПД-15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Параметр</w:t>
            </w:r>
          </w:p>
        </w:tc>
        <w:tc>
          <w:tcPr>
            <w:tcW w:type="dxa" w:w="5099"/>
          </w:tcPr>
          <w:p>
            <w:r>
              <w:rPr>
                <w:b/>
              </w:rPr>
              <w:t>Значение</w:t>
            </w:r>
          </w:p>
        </w:tc>
      </w:tr>
      <w:tr>
        <w:tc>
          <w:tcPr>
            <w:tcW w:type="dxa" w:w="5099"/>
          </w:tcPr>
          <w:p>
            <w:r>
              <w:t>Дисциплина</w:t>
            </w:r>
          </w:p>
        </w:tc>
        <w:tc>
          <w:tcPr>
            <w:tcW w:type="dxa" w:w="5099"/>
          </w:tcPr>
          <w:p>
            <w:r>
              <w:t>ОП.04 «Основы метрологии»</w:t>
            </w:r>
          </w:p>
        </w:tc>
      </w:tr>
      <w:tr>
        <w:tc>
          <w:tcPr>
            <w:tcW w:type="dxa" w:w="5099"/>
          </w:tcPr>
          <w:p>
            <w:r>
              <w:t>Тема</w:t>
            </w:r>
          </w:p>
        </w:tc>
        <w:tc>
          <w:tcPr>
            <w:tcW w:type="dxa" w:w="5099"/>
          </w:tcPr>
          <w:p>
            <w:r>
              <w:t>2 «Качество измерений и способы его достижения»</w:t>
            </w:r>
          </w:p>
        </w:tc>
      </w:tr>
      <w:tr>
        <w:tc>
          <w:tcPr>
            <w:tcW w:type="dxa" w:w="5099"/>
          </w:tcPr>
          <w:p>
            <w:r>
              <w:t>Часы</w:t>
            </w:r>
          </w:p>
        </w:tc>
        <w:tc>
          <w:tcPr>
            <w:tcW w:type="dxa" w:w="5099"/>
          </w:tcPr>
          <w:p>
            <w:r>
              <w:t>По строке КУПД: всего 2 ч; лекции 0,5 ч; ЛПЗ 1 ч</w:t>
            </w:r>
          </w:p>
        </w:tc>
      </w:tr>
      <w:tr>
        <w:tc>
          <w:tcPr>
            <w:tcW w:type="dxa" w:w="5099"/>
          </w:tcPr>
          <w:p>
            <w:r>
              <w:t>Источник</w:t>
            </w:r>
          </w:p>
        </w:tc>
        <w:tc>
          <w:tcPr>
            <w:tcW w:type="dxa" w:w="5099"/>
          </w:tcPr>
          <w:p>
            <w:r>
              <w:t>КУПД «Слесарь по КИПиА» от 21.04.2026 № УПД-15</w:t>
            </w:r>
          </w:p>
        </w:tc>
      </w:tr>
    </w:tbl>
    <w:p>
      <w:r>
        <w:br w:type="page"/>
      </w:r>
    </w:p>
    <w:p>
      <w:pPr>
        <w:jc w:val="center"/>
      </w:pPr>
      <w:r>
        <w:rPr>
          <w:b/>
        </w:rPr>
        <w:t>СОДЕРЖАНИЕ</w:t>
      </w:r>
    </w:p>
    <w:p>
      <w:hyperlink w:anchor="s1" w:history="1">
        <w:r>
          <w:rPr>
            <w:color w:val="0563C1"/>
            <w:u w:val="single"/>
          </w:rPr>
          <w:t>1. Физические величины</w:t>
        </w:r>
      </w:hyperlink>
    </w:p>
    <w:p>
      <w:hyperlink w:anchor="s11" w:history="1">
        <w:r>
          <w:rPr>
            <w:color w:val="0563C1"/>
            <w:u w:val="single"/>
          </w:rPr>
          <w:t>1.1. Основные и производные величины</w:t>
        </w:r>
      </w:hyperlink>
    </w:p>
    <w:p>
      <w:hyperlink w:anchor="s12" w:history="1">
        <w:r>
          <w:rPr>
            <w:color w:val="0563C1"/>
            <w:u w:val="single"/>
          </w:rPr>
          <w:t>1.2. Качественная и количественная характеристика</w:t>
        </w:r>
      </w:hyperlink>
    </w:p>
    <w:p>
      <w:hyperlink w:anchor="s2" w:history="1">
        <w:r>
          <w:rPr>
            <w:color w:val="0563C1"/>
            <w:u w:val="single"/>
          </w:rPr>
          <w:t>2. Единица физической величины и измерение</w:t>
        </w:r>
      </w:hyperlink>
    </w:p>
    <w:p>
      <w:hyperlink w:anchor="s3" w:history="1">
        <w:r>
          <w:rPr>
            <w:color w:val="0563C1"/>
            <w:u w:val="single"/>
          </w:rPr>
          <w:t>3. Эталоны единиц СИ</w:t>
        </w:r>
      </w:hyperlink>
    </w:p>
    <w:p>
      <w:hyperlink w:anchor="s4" w:history="1">
        <w:r>
          <w:rPr>
            <w:color w:val="0563C1"/>
            <w:u w:val="single"/>
          </w:rPr>
          <w:t>4. Передача размера единицы</w:t>
        </w:r>
      </w:hyperlink>
    </w:p>
    <w:p>
      <w:hyperlink w:anchor="s5" w:history="1">
        <w:r>
          <w:rPr>
            <w:color w:val="0563C1"/>
            <w:u w:val="single"/>
          </w:rPr>
          <w:t>5. Поверочные схемы</w:t>
        </w:r>
      </w:hyperlink>
    </w:p>
    <w:p>
      <w:hyperlink w:anchor="s6" w:history="1">
        <w:r>
          <w:rPr>
            <w:color w:val="0563C1"/>
            <w:u w:val="single"/>
          </w:rPr>
          <w:t>6. Стандартные образцы</w:t>
        </w:r>
      </w:hyperlink>
    </w:p>
    <w:p>
      <w:hyperlink w:anchor="s7" w:history="1">
        <w:r>
          <w:rPr>
            <w:color w:val="0563C1"/>
            <w:u w:val="single"/>
          </w:rPr>
          <w:t>7. Классификация измерений</w:t>
        </w:r>
      </w:hyperlink>
    </w:p>
    <w:p>
      <w:hyperlink w:anchor="s8" w:history="1">
        <w:r>
          <w:rPr>
            <w:color w:val="0563C1"/>
            <w:u w:val="single"/>
          </w:rPr>
          <w:t>8. Характеристики и критерии качества измерений</w:t>
        </w:r>
      </w:hyperlink>
    </w:p>
    <w:p>
      <w:hyperlink w:anchor="s9" w:history="1">
        <w:r>
          <w:rPr>
            <w:color w:val="0563C1"/>
            <w:u w:val="single"/>
          </w:rPr>
          <w:t>9. Методы и методики измерений</w:t>
        </w:r>
      </w:hyperlink>
    </w:p>
    <w:p>
      <w:hyperlink w:anchor="s10" w:history="1">
        <w:r>
          <w:rPr>
            <w:color w:val="0563C1"/>
            <w:u w:val="single"/>
          </w:rPr>
          <w:t>10. Обеспечение единства измерений</w:t>
        </w:r>
      </w:hyperlink>
    </w:p>
    <w:p>
      <w:hyperlink w:anchor="s11c" w:history="1">
        <w:r>
          <w:rPr>
            <w:color w:val="0563C1"/>
            <w:u w:val="single"/>
          </w:rPr>
          <w:t>11. Понятие и виды контроля</w:t>
        </w:r>
      </w:hyperlink>
    </w:p>
    <w:p>
      <w:hyperlink w:anchor="s12p" w:history="1">
        <w:r>
          <w:rPr>
            <w:color w:val="0563C1"/>
            <w:u w:val="single"/>
          </w:rPr>
          <w:t>12. Практическое закрепление</w:t>
        </w:r>
      </w:hyperlink>
    </w:p>
    <w:p>
      <w:hyperlink w:anchor="s121" w:history="1">
        <w:r>
          <w:rPr>
            <w:color w:val="0563C1"/>
            <w:u w:val="single"/>
          </w:rPr>
          <w:t>12.1. Перевод единиц</w:t>
        </w:r>
      </w:hyperlink>
    </w:p>
    <w:p>
      <w:hyperlink w:anchor="s122" w:history="1">
        <w:r>
          <w:rPr>
            <w:color w:val="0563C1"/>
            <w:u w:val="single"/>
          </w:rPr>
          <w:t>12.2. Штангенинструмент</w:t>
        </w:r>
      </w:hyperlink>
    </w:p>
    <w:p>
      <w:hyperlink w:anchor="s123" w:history="1">
        <w:r>
          <w:rPr>
            <w:color w:val="0563C1"/>
            <w:u w:val="single"/>
          </w:rPr>
          <w:t>12.3. Микрометрические средства</w:t>
        </w:r>
      </w:hyperlink>
    </w:p>
    <w:p>
      <w:hyperlink w:anchor="s13" w:history="1">
        <w:r>
          <w:rPr>
            <w:color w:val="0563C1"/>
            <w:u w:val="single"/>
          </w:rPr>
          <w:t>13. Итоги и контрольные вопросы</w:t>
        </w:r>
      </w:hyperlink>
    </w:p>
    <w:p>
      <w:bookmarkStart w:id="544166" w:name="s1"/>
      <w:pPr>
        <w:pStyle w:val="Heading1"/>
      </w:pPr>
      <w:r>
        <w:t>1. Физические величины</w:t>
      </w:r>
      <w:bookmarkEnd w:id="544166"/>
    </w:p>
    <w:p>
      <w:r>
        <w:t>КУПД требует рассмотреть основные и производные величины, их классификацию, качественные и количественные характеристики.</w:t>
      </w:r>
    </w:p>
    <w:p>
      <w:r>
        <w:drawing>
          <wp:inline xmlns:a="http://schemas.openxmlformats.org/drawingml/2006/main" xmlns:pic="http://schemas.openxmlformats.org/drawingml/2006/picture">
            <wp:extent cx="5832000" cy="1944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quantities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194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435387" w:name="s11"/>
      <w:pPr>
        <w:pStyle w:val="Heading2"/>
      </w:pPr>
      <w:r>
        <w:t>1.1. Основные и производные величины</w:t>
      </w:r>
      <w:bookmarkEnd w:id="435387"/>
    </w:p>
    <w:p>
      <w:r>
        <w:t>Основные величины принимаются как независимые в выбранной системе; производные выражаются через основные по установленным соотношениям.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Группа</w:t>
            </w:r>
          </w:p>
        </w:tc>
        <w:tc>
          <w:tcPr>
            <w:tcW w:type="dxa" w:w="5099"/>
          </w:tcPr>
          <w:p>
            <w:r>
              <w:rPr>
                <w:b/>
              </w:rPr>
              <w:t>Учебный смысл</w:t>
            </w:r>
          </w:p>
        </w:tc>
      </w:tr>
      <w:tr>
        <w:tc>
          <w:tcPr>
            <w:tcW w:type="dxa" w:w="5099"/>
          </w:tcPr>
          <w:p>
            <w:r>
              <w:t>Основные</w:t>
            </w:r>
          </w:p>
        </w:tc>
        <w:tc>
          <w:tcPr>
            <w:tcW w:type="dxa" w:w="5099"/>
          </w:tcPr>
          <w:p>
            <w:r>
              <w:t>задаются независимо в выбранной системе</w:t>
            </w:r>
          </w:p>
        </w:tc>
      </w:tr>
      <w:tr>
        <w:tc>
          <w:tcPr>
            <w:tcW w:type="dxa" w:w="5099"/>
          </w:tcPr>
          <w:p>
            <w:r>
              <w:t>Производные</w:t>
            </w:r>
          </w:p>
        </w:tc>
        <w:tc>
          <w:tcPr>
            <w:tcW w:type="dxa" w:w="5099"/>
          </w:tcPr>
          <w:p>
            <w:r>
              <w:t>выражаются через основные</w:t>
            </w:r>
          </w:p>
        </w:tc>
      </w:tr>
    </w:tbl>
    <w:p>
      <w:bookmarkStart w:id="175679" w:name="s12"/>
      <w:pPr>
        <w:pStyle w:val="Heading2"/>
      </w:pPr>
      <w:r>
        <w:t>1.2. Качественная и количественная характеристика</w:t>
      </w:r>
      <w:bookmarkEnd w:id="175679"/>
    </w:p>
    <w:p>
      <w:r>
        <w:t>Качественная характеристика отвечает на вопрос о виде свойства, количественная выражает значение числом и единицей.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Элемент</w:t>
            </w:r>
          </w:p>
        </w:tc>
        <w:tc>
          <w:tcPr>
            <w:tcW w:type="dxa" w:w="5099"/>
          </w:tcPr>
          <w:p>
            <w:r>
              <w:rPr>
                <w:b/>
              </w:rPr>
              <w:t>Пример</w:t>
            </w:r>
          </w:p>
        </w:tc>
      </w:tr>
      <w:tr>
        <w:tc>
          <w:tcPr>
            <w:tcW w:type="dxa" w:w="5099"/>
          </w:tcPr>
          <w:p>
            <w:r>
              <w:t>Качественная характеристика</w:t>
            </w:r>
          </w:p>
        </w:tc>
        <w:tc>
          <w:tcPr>
            <w:tcW w:type="dxa" w:w="5099"/>
          </w:tcPr>
          <w:p>
            <w:r>
              <w:t>давление, температура, ток</w:t>
            </w:r>
          </w:p>
        </w:tc>
      </w:tr>
      <w:tr>
        <w:tc>
          <w:tcPr>
            <w:tcW w:type="dxa" w:w="5099"/>
          </w:tcPr>
          <w:p>
            <w:r>
              <w:t>Количественная характеристика</w:t>
            </w:r>
          </w:p>
        </w:tc>
        <w:tc>
          <w:tcPr>
            <w:tcW w:type="dxa" w:w="5099"/>
          </w:tcPr>
          <w:p>
            <w:r>
              <w:t>числовое значение и единица</w:t>
            </w:r>
          </w:p>
        </w:tc>
      </w:tr>
    </w:tbl>
    <w:p>
      <w:bookmarkStart w:id="724006" w:name="s2"/>
      <w:pPr>
        <w:pStyle w:val="Heading1"/>
      </w:pPr>
      <w:r>
        <w:t>2. Единица физической величины и измерение</w:t>
      </w:r>
      <w:bookmarkEnd w:id="724006"/>
    </w:p>
    <w:p>
      <w:r>
        <w:t>Единица является согласованной основой количественного выражения; измерение связывает объект, единицу, метод, средство и результат.</w:t>
      </w:r>
    </w:p>
    <w:p>
      <w:r>
        <w:drawing>
          <wp:inline xmlns:a="http://schemas.openxmlformats.org/drawingml/2006/main" xmlns:pic="http://schemas.openxmlformats.org/drawingml/2006/picture">
            <wp:extent cx="5832000" cy="19440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unit_measurement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194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844408" w:name="s3"/>
      <w:pPr>
        <w:pStyle w:val="Heading1"/>
      </w:pPr>
      <w:r>
        <w:t>3. Эталоны единиц СИ</w:t>
      </w:r>
      <w:bookmarkEnd w:id="844408"/>
    </w:p>
    <w:p>
      <w:r>
        <w:t>Эталонная основа служит воспроизведению, хранению и передаче размера единицы в установленной системе.</w:t>
      </w:r>
    </w:p>
    <w:p>
      <w:bookmarkStart w:id="742554" w:name="s4"/>
      <w:pPr>
        <w:pStyle w:val="Heading1"/>
      </w:pPr>
      <w:r>
        <w:t>4. Передача размера единицы</w:t>
      </w:r>
      <w:bookmarkEnd w:id="742554"/>
    </w:p>
    <w:p>
      <w:r>
        <w:t>Размер единицы передаётся от эталона к рабочим эталонам и рабочим средствам измерений.</w:t>
      </w:r>
    </w:p>
    <w:p>
      <w:r>
        <w:drawing>
          <wp:inline xmlns:a="http://schemas.openxmlformats.org/drawingml/2006/main" xmlns:pic="http://schemas.openxmlformats.org/drawingml/2006/picture">
            <wp:extent cx="5832000" cy="1944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standard_chain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194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970610" w:name="s5"/>
      <w:pPr>
        <w:pStyle w:val="Heading1"/>
      </w:pPr>
      <w:r>
        <w:t>5. Поверочные схемы</w:t>
      </w:r>
      <w:bookmarkEnd w:id="970610"/>
    </w:p>
    <w:p>
      <w:r>
        <w:t>Поверочная схема задаёт структуру и последовательность передачи размера единицы.</w:t>
      </w:r>
    </w:p>
    <w:p>
      <w:r>
        <w:drawing>
          <wp:inline xmlns:a="http://schemas.openxmlformats.org/drawingml/2006/main" xmlns:pic="http://schemas.openxmlformats.org/drawingml/2006/picture">
            <wp:extent cx="5832000" cy="1944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verification_scheme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194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138757" w:name="s6"/>
      <w:pPr>
        <w:pStyle w:val="Heading1"/>
      </w:pPr>
      <w:r>
        <w:t>6. Стандартные образцы</w:t>
      </w:r>
      <w:bookmarkEnd w:id="138757"/>
    </w:p>
    <w:p>
      <w:r>
        <w:t>Стандартный образец применяют как материал или объект с установленными характеристиками в измерительной или контрольной задаче.</w:t>
      </w:r>
    </w:p>
    <w:p>
      <w:r>
        <w:drawing>
          <wp:inline xmlns:a="http://schemas.openxmlformats.org/drawingml/2006/main" xmlns:pic="http://schemas.openxmlformats.org/drawingml/2006/picture">
            <wp:extent cx="5832000" cy="1944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standard_sample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194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844515" w:name="s7"/>
      <w:pPr>
        <w:pStyle w:val="Heading1"/>
      </w:pPr>
      <w:r>
        <w:t>7. Классификация измерений</w:t>
      </w:r>
      <w:bookmarkEnd w:id="844515"/>
    </w:p>
    <w:p>
      <w:r>
        <w:t>Измерения классифицируют по разным признакам; подробное различие видов продолжается в теме 3.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Признак</w:t>
            </w:r>
          </w:p>
        </w:tc>
        <w:tc>
          <w:tcPr>
            <w:tcW w:type="dxa" w:w="5099"/>
          </w:tcPr>
          <w:p>
            <w:r>
              <w:rPr>
                <w:b/>
              </w:rPr>
              <w:t>Примеры</w:t>
            </w:r>
          </w:p>
        </w:tc>
      </w:tr>
      <w:tr>
        <w:tc>
          <w:tcPr>
            <w:tcW w:type="dxa" w:w="5099"/>
          </w:tcPr>
          <w:p>
            <w:r>
              <w:t>Способ получения</w:t>
            </w:r>
          </w:p>
        </w:tc>
        <w:tc>
          <w:tcPr>
            <w:tcW w:type="dxa" w:w="5099"/>
          </w:tcPr>
          <w:p>
            <w:r>
              <w:t>прямые, косвенные, совокупные</w:t>
            </w:r>
          </w:p>
        </w:tc>
      </w:tr>
      <w:tr>
        <w:tc>
          <w:tcPr>
            <w:tcW w:type="dxa" w:w="5099"/>
          </w:tcPr>
          <w:p>
            <w:r>
              <w:t>Число наблюдений</w:t>
            </w:r>
          </w:p>
        </w:tc>
        <w:tc>
          <w:tcPr>
            <w:tcW w:type="dxa" w:w="5099"/>
          </w:tcPr>
          <w:p>
            <w:r>
              <w:t>однократные, многократные</w:t>
            </w:r>
          </w:p>
        </w:tc>
      </w:tr>
      <w:tr>
        <w:tc>
          <w:tcPr>
            <w:tcW w:type="dxa" w:w="5099"/>
          </w:tcPr>
          <w:p>
            <w:r>
              <w:t>Сопоставимость</w:t>
            </w:r>
          </w:p>
        </w:tc>
        <w:tc>
          <w:tcPr>
            <w:tcW w:type="dxa" w:w="5099"/>
          </w:tcPr>
          <w:p>
            <w:r>
              <w:t>равноточные, неравноточные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5832000" cy="19440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measurement_classification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194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794541" w:name="s8"/>
      <w:pPr>
        <w:pStyle w:val="Heading1"/>
      </w:pPr>
      <w:r>
        <w:t>8. Характеристики и критерии качества измерений</w:t>
      </w:r>
      <w:bookmarkEnd w:id="794541"/>
    </w:p>
    <w:p>
      <w:r>
        <w:t>Качество зависит от корректности задачи, метода, методики, средства, условий и контроля результата. Теория погрешностей относится к теме 3.</w:t>
      </w:r>
    </w:p>
    <w:p>
      <w:r>
        <w:drawing>
          <wp:inline xmlns:a="http://schemas.openxmlformats.org/drawingml/2006/main" xmlns:pic="http://schemas.openxmlformats.org/drawingml/2006/picture">
            <wp:extent cx="5832000" cy="19440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quality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194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806855" w:name="s9"/>
      <w:pPr>
        <w:pStyle w:val="Heading1"/>
      </w:pPr>
      <w:r>
        <w:t>9. Методы и методики измерений</w:t>
      </w:r>
      <w:bookmarkEnd w:id="806855"/>
    </w:p>
    <w:p>
      <w:r>
        <w:t>Метод описывает принцип получения значения; методика задаёт последовательность, условия, средства и оформление результата.</w:t>
      </w:r>
    </w:p>
    <w:p>
      <w:r>
        <w:drawing>
          <wp:inline xmlns:a="http://schemas.openxmlformats.org/drawingml/2006/main" xmlns:pic="http://schemas.openxmlformats.org/drawingml/2006/picture">
            <wp:extent cx="5832000" cy="19440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method_methodology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194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69486" w:name="s10"/>
      <w:pPr>
        <w:pStyle w:val="Heading1"/>
      </w:pPr>
      <w:r>
        <w:t>10. Обеспечение единства измерений</w:t>
      </w:r>
      <w:bookmarkEnd w:id="69486"/>
    </w:p>
    <w:p>
      <w:r>
        <w:t>Единство измерений обеспечивается взаимосвязанными требованиями, единицами, эталонной основой, средствами и процедурами.</w:t>
      </w:r>
    </w:p>
    <w:p>
      <w:bookmarkStart w:id="949676" w:name="s11c"/>
      <w:pPr>
        <w:pStyle w:val="Heading1"/>
      </w:pPr>
      <w:r>
        <w:t>11. Понятие и виды контроля</w:t>
      </w:r>
      <w:bookmarkEnd w:id="949676"/>
    </w:p>
    <w:p>
      <w:r>
        <w:t>Контроль сопоставляет полученную информацию с установленным требованием и приводит к решению о соответствии.</w:t>
      </w:r>
    </w:p>
    <w:p>
      <w:r>
        <w:drawing>
          <wp:inline xmlns:a="http://schemas.openxmlformats.org/drawingml/2006/main" xmlns:pic="http://schemas.openxmlformats.org/drawingml/2006/picture">
            <wp:extent cx="5832000" cy="19440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control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194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268464" w:name="s12p"/>
      <w:pPr>
        <w:pStyle w:val="Heading1"/>
      </w:pPr>
      <w:r>
        <w:t>12. Практическое закрепление</w:t>
      </w:r>
      <w:bookmarkEnd w:id="268464"/>
    </w:p>
    <w:p>
      <w:r>
        <w:t>КУПД предусматривает перевод единиц, штангенинструмент, микрометрические средства и ЭУМП.</w:t>
      </w:r>
    </w:p>
    <w:p>
      <w:bookmarkStart w:id="164312" w:name="s121"/>
      <w:pPr>
        <w:pStyle w:val="Heading2"/>
      </w:pPr>
      <w:r>
        <w:t>12.1. Перевод единиц</w:t>
      </w:r>
      <w:bookmarkEnd w:id="164312"/>
    </w:p>
    <w:p>
      <w:r>
        <w:t>Перевод выполняют с сохранением размерности, проверяя коэффициент и конечную единицу.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Пример</w:t>
            </w:r>
          </w:p>
        </w:tc>
        <w:tc>
          <w:tcPr>
            <w:tcW w:type="dxa" w:w="5099"/>
          </w:tcPr>
          <w:p>
            <w:r>
              <w:rPr>
                <w:b/>
              </w:rPr>
              <w:t>Преобразование</w:t>
            </w:r>
          </w:p>
        </w:tc>
      </w:tr>
      <w:tr>
        <w:tc>
          <w:tcPr>
            <w:tcW w:type="dxa" w:w="5099"/>
          </w:tcPr>
          <w:p>
            <w:r>
              <w:t>0,6 МПа</w:t>
            </w:r>
          </w:p>
        </w:tc>
        <w:tc>
          <w:tcPr>
            <w:tcW w:type="dxa" w:w="5099"/>
          </w:tcPr>
          <w:p>
            <w:r>
              <w:t>600 000 Па</w:t>
            </w:r>
          </w:p>
        </w:tc>
      </w:tr>
      <w:tr>
        <w:tc>
          <w:tcPr>
            <w:tcW w:type="dxa" w:w="5099"/>
          </w:tcPr>
          <w:p>
            <w:r>
              <w:t>2500 мВ</w:t>
            </w:r>
          </w:p>
        </w:tc>
        <w:tc>
          <w:tcPr>
            <w:tcW w:type="dxa" w:w="5099"/>
          </w:tcPr>
          <w:p>
            <w:r>
              <w:t>2,5 В</w:t>
            </w:r>
          </w:p>
        </w:tc>
      </w:tr>
      <w:tr>
        <w:tc>
          <w:tcPr>
            <w:tcW w:type="dxa" w:w="5099"/>
          </w:tcPr>
          <w:p>
            <w:r>
              <w:t>12 мА</w:t>
            </w:r>
          </w:p>
        </w:tc>
        <w:tc>
          <w:tcPr>
            <w:tcW w:type="dxa" w:w="5099"/>
          </w:tcPr>
          <w:p>
            <w:r>
              <w:t>0,012 А</w:t>
            </w:r>
          </w:p>
        </w:tc>
      </w:tr>
      <w:tr>
        <w:tc>
          <w:tcPr>
            <w:tcW w:type="dxa" w:w="5099"/>
          </w:tcPr>
          <w:p>
            <w:r>
              <w:t>3,5 кОм</w:t>
            </w:r>
          </w:p>
        </w:tc>
        <w:tc>
          <w:tcPr>
            <w:tcW w:type="dxa" w:w="5099"/>
          </w:tcPr>
          <w:p>
            <w:r>
              <w:t>3500 Ом</w:t>
            </w:r>
          </w:p>
        </w:tc>
      </w:tr>
      <w:tr>
        <w:tc>
          <w:tcPr>
            <w:tcW w:type="dxa" w:w="5099"/>
          </w:tcPr>
          <w:p>
            <w:r>
              <w:t>1,2 бар</w:t>
            </w:r>
          </w:p>
        </w:tc>
        <w:tc>
          <w:tcPr>
            <w:tcW w:type="dxa" w:w="5099"/>
          </w:tcPr>
          <w:p>
            <w:r>
              <w:t>120 000 Па</w:t>
            </w:r>
          </w:p>
        </w:tc>
      </w:tr>
    </w:tbl>
    <w:p>
      <w:r>
        <w:t>Для внесистемных единиц коэффициенты проверяют по действующей документации; 1 бар = 100 000 Па здесь используется как учебный пример.</w:t>
      </w:r>
    </w:p>
    <w:p>
      <w:r>
        <w:drawing>
          <wp:inline xmlns:a="http://schemas.openxmlformats.org/drawingml/2006/main" xmlns:pic="http://schemas.openxmlformats.org/drawingml/2006/picture">
            <wp:extent cx="5832000" cy="19440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units_conversion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194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844541" w:name="s122"/>
      <w:pPr>
        <w:pStyle w:val="Heading2"/>
      </w:pPr>
      <w:r>
        <w:t>12.2. Штангенинструмент</w:t>
      </w:r>
      <w:bookmarkEnd w:id="844541"/>
    </w:p>
    <w:p>
      <w:r>
        <w:t>Перед работой инструмент осматривают, очищают измерительные поверхности и проверяют нулевое положение по документации.</w:t>
      </w:r>
    </w:p>
    <w:p>
      <w:r>
        <w:drawing>
          <wp:inline xmlns:a="http://schemas.openxmlformats.org/drawingml/2006/main" xmlns:pic="http://schemas.openxmlformats.org/drawingml/2006/picture">
            <wp:extent cx="5832000" cy="194400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1_caliper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194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301761" w:name="s123"/>
      <w:pPr>
        <w:pStyle w:val="Heading2"/>
      </w:pPr>
      <w:r>
        <w:t>12.3. Микрометрические средства</w:t>
      </w:r>
      <w:bookmarkEnd w:id="301761"/>
    </w:p>
    <w:p>
      <w:r>
        <w:t>Микрометрический принцип использует винтовую пару; важны чистые поверхности, контроль нуля и нормированное усилие.</w:t>
      </w:r>
    </w:p>
    <w:p>
      <w:r>
        <w:drawing>
          <wp:inline xmlns:a="http://schemas.openxmlformats.org/drawingml/2006/main" xmlns:pic="http://schemas.openxmlformats.org/drawingml/2006/picture">
            <wp:extent cx="5832000" cy="194400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2_micrometer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194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281890" w:name="s13"/>
      <w:pPr>
        <w:pStyle w:val="Heading1"/>
      </w:pPr>
      <w:r>
        <w:t>13. Итоги и контрольные вопросы</w:t>
      </w:r>
      <w:bookmarkEnd w:id="281890"/>
    </w:p>
    <w:p>
      <w:r>
        <w:t>Качество измерения достигается правильной организацией всей измерительной цепочки.</w:t>
      </w:r>
    </w:p>
    <w:p>
      <w:pPr>
        <w:pStyle w:val="ListNumber"/>
      </w:pPr>
      <w:r>
        <w:t>Чем основная величина отличается от производной?</w:t>
      </w:r>
    </w:p>
    <w:p>
      <w:pPr>
        <w:pStyle w:val="ListNumber"/>
      </w:pPr>
      <w:r>
        <w:t>Почему число без единицы неполно?</w:t>
      </w:r>
    </w:p>
    <w:p>
      <w:pPr>
        <w:pStyle w:val="ListNumber"/>
      </w:pPr>
      <w:r>
        <w:t>Какова роль эталона?</w:t>
      </w:r>
    </w:p>
    <w:p>
      <w:pPr>
        <w:pStyle w:val="ListNumber"/>
      </w:pPr>
      <w:r>
        <w:t>Как передаётся размер единицы?</w:t>
      </w:r>
    </w:p>
    <w:p>
      <w:pPr>
        <w:pStyle w:val="ListNumber"/>
      </w:pPr>
      <w:r>
        <w:t>Что показывает поверочная схема?</w:t>
      </w:r>
    </w:p>
    <w:p>
      <w:pPr>
        <w:pStyle w:val="ListNumber"/>
      </w:pPr>
      <w:r>
        <w:t>Для чего нужен стандартный образец?</w:t>
      </w:r>
    </w:p>
    <w:p>
      <w:pPr>
        <w:pStyle w:val="ListNumber"/>
      </w:pPr>
      <w:r>
        <w:t>Как классифицируют измерения?</w:t>
      </w:r>
    </w:p>
    <w:p>
      <w:pPr>
        <w:pStyle w:val="ListNumber"/>
      </w:pPr>
      <w:r>
        <w:t>От чего зависит качество?</w:t>
      </w:r>
    </w:p>
    <w:p>
      <w:pPr>
        <w:pStyle w:val="ListNumber"/>
      </w:pPr>
      <w:r>
        <w:t>Чем метод отличается от методики?</w:t>
      </w:r>
    </w:p>
    <w:p>
      <w:pPr>
        <w:pStyle w:val="ListNumber"/>
      </w:pPr>
      <w:r>
        <w:t>Чем измерение отличается от контроля?</w:t>
      </w:r>
    </w:p>
    <w:p>
      <w:pPr>
        <w:pStyle w:val="ListNumber"/>
      </w:pPr>
      <w:r>
        <w:t>Что проверяют у штангенинструмента?</w:t>
      </w:r>
    </w:p>
    <w:p>
      <w:pPr>
        <w:pStyle w:val="ListNumber"/>
      </w:pPr>
      <w:r>
        <w:t>Что важно при микрометрическом измерении?</w:t>
      </w:r>
    </w:p>
    <w:p>
      <w:pPr>
        <w:pStyle w:val="Heading1"/>
      </w:pPr>
      <w:r>
        <w:t>Источник и границы темы</w:t>
      </w:r>
    </w:p>
    <w:p>
      <w:r>
        <w:t>Основа — КУПД, тема 2 ОП.04. Подробные классы точности, виды погрешностей и обработка результатов оставлены теме 3.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