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2. Качество измерений и способы его достижения</w:t>
      </w:r>
    </w:p>
    <w:p>
      <w:pPr>
        <w:jc w:val="center"/>
      </w:pPr>
      <w:r>
        <w:t>По строке КУПД: всего 2 ч; лекции 0,5 ч; ЛПЗ 1 ч</w:t>
        <w:br/>
        <w:t>КУПД «Слесарь по КИПиА» от 21.04.2026 № УПД-15</w:t>
      </w:r>
    </w:p>
    <w:p>
      <w:r>
        <w:t>Ф.И.О.: _______________________________________   Дата: ______________</w:t>
      </w:r>
    </w:p>
    <w:p>
      <w:pPr>
        <w:pStyle w:val="Heading1"/>
      </w:pPr>
      <w:r>
        <w:t>Основные и производные величины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Единицы и перевод в СИ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Эталоны и передача размера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Поверочная схема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Стандартные образцы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Методы и методики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Штангенинструмент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Микрометрические средства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Работа в ЭУМП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