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</w:rPr>
        <w:t>КИПиА ЯМАЛ</w:t>
        <w:br/>
        <w:t>6-й разряд</w:t>
      </w:r>
    </w:p>
    <w:p>
      <w:pPr>
        <w:jc w:val="center"/>
      </w:pPr>
      <w:r>
        <w:rPr>
          <w:b/>
          <w:sz w:val="36"/>
        </w:rPr>
        <w:t>Методические указания преподавателю</w:t>
      </w:r>
    </w:p>
    <w:p>
      <w:pPr>
        <w:jc w:val="center"/>
      </w:pPr>
      <w:r>
        <w:rPr>
          <w:b/>
        </w:rPr>
        <w:t>ОП.04 «Основы метрологии»</w:t>
      </w:r>
    </w:p>
    <w:p>
      <w:pPr>
        <w:jc w:val="center"/>
      </w:pPr>
      <w:r>
        <w:rPr>
          <w:b/>
        </w:rPr>
        <w:t>Тема 1. Общие сведения о метрологии</w:t>
      </w:r>
    </w:p>
    <w:p>
      <w:pPr>
        <w:jc w:val="center"/>
      </w:pPr>
      <w:r>
        <w:t>0,5 академического часа лекции; отдельное ЛПЗ для темы 1 не указано</w:t>
        <w:br/>
        <w:t>КУПД «Слесарь по КИПиА» от 21.04.2026 № УПД-15</w:t>
      </w:r>
    </w:p>
    <w:p>
      <w:pPr>
        <w:pStyle w:val="Heading1"/>
      </w:pPr>
      <w:r>
        <w:t>Методическая цель</w:t>
      </w:r>
    </w:p>
    <w:p>
      <w:r>
        <w:t>За короткое лекционное время сформировать систему понятий, а не перечень определений.</w:t>
      </w:r>
    </w:p>
    <w:p>
      <w:pPr>
        <w:pStyle w:val="Heading1"/>
      </w:pPr>
      <w:r>
        <w:t>Граница темы</w:t>
      </w:r>
    </w:p>
    <w:p>
      <w:r>
        <w:t>Не переносить сюда классификацию физических величин, эталоны и поверочные схемы, методы измерений, классы точности и виды погрешностей — они относятся к следующим темам ОП.04.</w:t>
      </w:r>
    </w:p>
    <w:p>
      <w:pPr>
        <w:pStyle w:val="Heading1"/>
      </w:pPr>
      <w:r>
        <w:t>Акценты</w:t>
      </w:r>
    </w:p>
    <w:p>
      <w:pPr>
        <w:pStyle w:val="ListBullet"/>
      </w:pPr>
      <w:r>
        <w:t>Начинать с практического вопроса о достоверности одного показания прибора.</w:t>
      </w:r>
    </w:p>
    <w:p>
      <w:pPr>
        <w:pStyle w:val="ListBullet"/>
      </w:pPr>
      <w:r>
        <w:t>СИ показывать через знакомые КИПиА величины.</w:t>
      </w:r>
    </w:p>
    <w:p>
      <w:pPr>
        <w:pStyle w:val="ListBullet"/>
      </w:pPr>
      <w:r>
        <w:t>Учебные формулировки терминов не подменяют нормативные определения.</w:t>
      </w:r>
    </w:p>
    <w:p>
      <w:pPr>
        <w:pStyle w:val="ListBullet"/>
      </w:pPr>
      <w:r>
        <w:t>BIPM и OIML использовать как примеры международных организаций.</w:t>
      </w:r>
    </w:p>
    <w:p>
      <w:pPr>
        <w:pStyle w:val="ListBullet"/>
      </w:pPr>
      <w:r>
        <w:t>Карточки не считать отдельным ЛПЗ.</w:t>
      </w:r>
    </w:p>
    <w:p>
      <w:pPr>
        <w:pStyle w:val="Heading1"/>
      </w:pPr>
      <w:r>
        <w:t>Примечание по часам</w:t>
      </w:r>
    </w:p>
    <w:p>
      <w:r>
        <w:t>Строка темы 1 и итоговая строка таблицы КУПД арифметически не согласованы. Для портала сохранено явно указанное распределение: лекции 0,5 ч, ЛПЗ 0 ч.</w:t>
      </w:r>
    </w:p>
    <w:sectPr w:rsidR="00FC693F" w:rsidRPr="0006063C" w:rsidSect="00034616">
      <w:footerReference w:type="default" r:id="rId9"/>
      <w:pgSz w:w="12240" w:h="15840"/>
      <w:pgMar w:top="907" w:right="907" w:bottom="90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center"/>
    </w:pPr>
    <w:r>
      <w:t xml:space="preserve">Страница </w:t>
      <w:fldChar w:fldCharType="begin"/>
      <w:instrText xml:space="preserve"> PAGE </w:instrText>
      <w:fldChar w:fldCharType="end"/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 w:eastAsia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 w:eastAsia="Arial"/>
      <w:b/>
      <w:bCs/>
      <w:color w:val="365F91" w:themeColor="accent1" w:themeShade="BF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 w:eastAsia="Arial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