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Практическое закрепление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rPr>
          <w:i/>
        </w:rPr>
        <w:t>Не является отдельным ЛПЗ по КУПД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r>
        <w:t>Отдельное ЛПЗ по теме 1 не указано. Задания используются для самостоятельного закрепления.</w:t>
      </w:r>
    </w:p>
    <w:p>
      <w:pPr>
        <w:pStyle w:val="Heading2"/>
      </w:pPr>
      <w:r>
        <w:t>Задание 1</w:t>
      </w:r>
    </w:p>
    <w:p>
      <w:r>
        <w:t>Сопоставить основные величины и единицы СИ.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2</w:t>
      </w:r>
    </w:p>
    <w:p>
      <w:r>
        <w:t>Объяснить, какие условия нужны для корректного сравнения результатов двух подразделений.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3</w:t>
      </w:r>
    </w:p>
    <w:p>
      <w:r>
        <w:t>Определить, почему перед работой проверяют актуальность документации.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4</w:t>
      </w:r>
    </w:p>
    <w:p>
      <w:r>
        <w:t>Связать понятия: метрология — единица — измерение — средство измерений — результат.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Задание 5</w:t>
      </w:r>
    </w:p>
    <w:p>
      <w:r>
        <w:t>Объяснить смысл международной сопоставимости измерений.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