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  <w:br/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МДК.01.03 «Организация и руководство работами, выполняемыми слесарями по КИПиА более низкой квалификации»</w:t>
      </w:r>
    </w:p>
    <w:p>
      <w:pPr>
        <w:jc w:val="center"/>
      </w:pPr>
      <w:r>
        <w:rPr>
          <w:b/>
        </w:rPr>
        <w:t>Тема 3.1. Контроль и организация работ, выполняемых слесарями по КИПиА более низкой квалификации</w:t>
      </w:r>
    </w:p>
    <w:p>
      <w:pPr>
        <w:jc w:val="center"/>
      </w:pPr>
      <w:r>
        <w:rPr>
          <w:i/>
        </w:rPr>
        <w:t>Организация 24-часового модуля</w:t>
      </w:r>
    </w:p>
    <w:p>
      <w:pPr>
        <w:jc w:val="center"/>
      </w:pPr>
      <w:r>
        <w:t>24 академических часа; отдельные часы ЛПЗ учебным планом не выделены</w:t>
        <w:br/>
        <w:t>КУПД «Слесарь по КИПиА» от 21.04.2026 № УПД-15</w:t>
      </w:r>
    </w:p>
    <w:p>
      <w:r>
        <w:rPr>
          <w:b/>
        </w:rPr>
        <w:t xml:space="preserve">Примечание. </w:t>
      </w:r>
      <w:r>
        <w:t>Официальные положения и состав темы основаны на КУПД. Учебные кейсы, чек-листы, вопросы и примеры являются методическим раскрытием этих положений.</w:t>
      </w:r>
    </w:p>
    <w:p>
      <w:pPr>
        <w:pStyle w:val="Heading1"/>
      </w:pPr>
      <w:r>
        <w:t>1. Общий подход</w:t>
      </w:r>
    </w:p>
    <w:p>
      <w:r>
        <w:t>Тема относится к организационно-руководящим функциям слесаря по КИПиА 6-го разряда. Основная методическая задача — научить обучающегося превращать производственную задачу в управляемый цикл: планирование — назначение — инструктаж — выполнение — контроль — корректировка — приёмка — запись.</w:t>
      </w:r>
    </w:p>
    <w:p>
      <w:pPr>
        <w:pStyle w:val="Heading1"/>
      </w:pPr>
      <w:r>
        <w:t>2. Соотношение теории и практики</w:t>
      </w:r>
    </w:p>
    <w:p>
      <w:r>
        <w:t>КУПД задаёт общий объём 24 часа и не выделяет отдельные часы ЛПЗ. Поэтому рекомендуется в каждом двухчасовом занятии сочетать объяснение материала с производственным кейсом, чек-листом или ролевой отработкой. Практика должна оставаться в пределах утверждённых правил предприятия и учебного сценария.</w:t>
      </w:r>
    </w:p>
    <w:p>
      <w:pPr>
        <w:pStyle w:val="Heading1"/>
      </w:pPr>
      <w:r>
        <w:t>3. Рекомендуемая структура двухчасового занятия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rPr>
          <w:tblHeader w:val="true"/>
        </w:trPr>
        <w:tc>
          <w:tcPr>
            <w:tcW w:type="dxa" w:w="3400"/>
            <w:vAlign w:val="center"/>
          </w:tcPr>
          <w:p>
            <w:r>
              <w:rPr>
                <w:b/>
              </w:rPr>
              <w:t>Этап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Ориентировочная доля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3400"/>
            <w:vAlign w:val="center"/>
          </w:tcPr>
          <w:p>
            <w:r>
              <w:t>Актуализация</w:t>
            </w:r>
          </w:p>
        </w:tc>
        <w:tc>
          <w:tcPr>
            <w:tcW w:type="dxa" w:w="3400"/>
            <w:vAlign w:val="center"/>
          </w:tcPr>
          <w:p>
            <w:r>
              <w:t>10%</w:t>
            </w:r>
          </w:p>
        </w:tc>
        <w:tc>
          <w:tcPr>
            <w:tcW w:type="dxa" w:w="3400"/>
            <w:vAlign w:val="center"/>
          </w:tcPr>
          <w:p>
            <w:r>
              <w:t>Связь с предыдущим материалом и постановка производственной задачи.</w:t>
            </w:r>
          </w:p>
        </w:tc>
      </w:tr>
      <w:tr>
        <w:tc>
          <w:tcPr>
            <w:tcW w:type="dxa" w:w="3400"/>
            <w:vAlign w:val="center"/>
          </w:tcPr>
          <w:p>
            <w:r>
              <w:t>Разбор теории</w:t>
            </w:r>
          </w:p>
        </w:tc>
        <w:tc>
          <w:tcPr>
            <w:tcW w:type="dxa" w:w="3400"/>
            <w:vAlign w:val="center"/>
          </w:tcPr>
          <w:p>
            <w:r>
              <w:t>35%</w:t>
            </w:r>
          </w:p>
        </w:tc>
        <w:tc>
          <w:tcPr>
            <w:tcW w:type="dxa" w:w="3400"/>
            <w:vAlign w:val="center"/>
          </w:tcPr>
          <w:p>
            <w:r>
              <w:t>Термины, роли, алгоритм действий и границы полномочий.</w:t>
            </w:r>
          </w:p>
        </w:tc>
      </w:tr>
      <w:tr>
        <w:tc>
          <w:tcPr>
            <w:tcW w:type="dxa" w:w="3400"/>
            <w:vAlign w:val="center"/>
          </w:tcPr>
          <w:p>
            <w:r>
              <w:t>Кейс / ролевая отработка</w:t>
            </w:r>
          </w:p>
        </w:tc>
        <w:tc>
          <w:tcPr>
            <w:tcW w:type="dxa" w:w="3400"/>
            <w:vAlign w:val="center"/>
          </w:tcPr>
          <w:p>
            <w:r>
              <w:t>35%</w:t>
            </w:r>
          </w:p>
        </w:tc>
        <w:tc>
          <w:tcPr>
            <w:tcW w:type="dxa" w:w="3400"/>
            <w:vAlign w:val="center"/>
          </w:tcPr>
          <w:p>
            <w:r>
              <w:t>Применение алгоритма к ситуации.</w:t>
            </w:r>
          </w:p>
        </w:tc>
      </w:tr>
      <w:tr>
        <w:tc>
          <w:tcPr>
            <w:tcW w:type="dxa" w:w="3400"/>
            <w:vAlign w:val="center"/>
          </w:tcPr>
          <w:p>
            <w:r>
              <w:t>Разбор ошибок</w:t>
            </w:r>
          </w:p>
        </w:tc>
        <w:tc>
          <w:tcPr>
            <w:tcW w:type="dxa" w:w="3400"/>
            <w:vAlign w:val="center"/>
          </w:tcPr>
          <w:p>
            <w:r>
              <w:t>10%</w:t>
            </w:r>
          </w:p>
        </w:tc>
        <w:tc>
          <w:tcPr>
            <w:tcW w:type="dxa" w:w="3400"/>
            <w:vAlign w:val="center"/>
          </w:tcPr>
          <w:p>
            <w:r>
              <w:t>Почему решение могло привести к качественному или безопасностному риску.</w:t>
            </w:r>
          </w:p>
        </w:tc>
      </w:tr>
      <w:tr>
        <w:tc>
          <w:tcPr>
            <w:tcW w:type="dxa" w:w="3400"/>
            <w:vAlign w:val="center"/>
          </w:tcPr>
          <w:p>
            <w:r>
              <w:t>Контроль</w:t>
            </w:r>
          </w:p>
        </w:tc>
        <w:tc>
          <w:tcPr>
            <w:tcW w:type="dxa" w:w="3400"/>
            <w:vAlign w:val="center"/>
          </w:tcPr>
          <w:p>
            <w:r>
              <w:t>10%</w:t>
            </w:r>
          </w:p>
        </w:tc>
        <w:tc>
          <w:tcPr>
            <w:tcW w:type="dxa" w:w="3400"/>
            <w:vAlign w:val="center"/>
          </w:tcPr>
          <w:p>
            <w:r>
              <w:t>Вопросы, карточка или короткий письменный вывод.</w:t>
            </w:r>
          </w:p>
        </w:tc>
      </w:tr>
    </w:tbl>
    <w:p>
      <w:pPr>
        <w:pStyle w:val="Heading1"/>
      </w:pPr>
      <w:r>
        <w:t>4. Методические акценты</w:t>
      </w:r>
    </w:p>
    <w:p>
      <w:pPr>
        <w:pStyle w:val="ListBullet"/>
      </w:pPr>
      <w:r>
        <w:t>Не сводить тему к общим фразам о руководстве: каждое занятие должно завершаться конкретным организационным действием.</w:t>
      </w:r>
    </w:p>
    <w:p>
      <w:pPr>
        <w:pStyle w:val="ListBullet"/>
      </w:pPr>
      <w:r>
        <w:t>Отделять организацию работ от самовольного изменения технологии.</w:t>
      </w:r>
    </w:p>
    <w:p>
      <w:pPr>
        <w:pStyle w:val="ListBullet"/>
      </w:pPr>
      <w:r>
        <w:t>Подчёркивать, что квалификация и допуск ограничивают назначаемые операции.</w:t>
      </w:r>
    </w:p>
    <w:p>
      <w:pPr>
        <w:pStyle w:val="ListBullet"/>
      </w:pPr>
      <w:r>
        <w:t>Учить формулировать проверяемый результат задания, а не только перечень действий.</w:t>
      </w:r>
    </w:p>
    <w:p>
      <w:pPr>
        <w:pStyle w:val="ListBullet"/>
      </w:pPr>
      <w:r>
        <w:t>Контроль качества связывать с заранее известными критериями и контрольными точками.</w:t>
      </w:r>
    </w:p>
    <w:p>
      <w:pPr>
        <w:pStyle w:val="ListBullet"/>
      </w:pPr>
      <w:r>
        <w:t>Безопасность рассматривать как встроенное условие планирования, а не отдельную проверку после выполнения.</w:t>
      </w:r>
    </w:p>
    <w:p>
      <w:pPr>
        <w:pStyle w:val="ListBullet"/>
      </w:pPr>
      <w:r>
        <w:t>Целевые инструктажи и аварийные действия разбирать только в привязке к актуальным локальным документам объекта.</w:t>
      </w:r>
    </w:p>
    <w:p>
      <w:pPr>
        <w:pStyle w:val="ListBullet"/>
      </w:pPr>
      <w:r>
        <w:t>Первую помощь изучать в пределах утверждённой программы; этот модуль оценивает прежде всего организацию обучения и действий персонала.</w:t>
      </w:r>
    </w:p>
    <w:p>
      <w:pPr>
        <w:pStyle w:val="ListBullet"/>
      </w:pPr>
      <w:r>
        <w:t>Отдельно тренировать корректную обратную связь без унижения работника: факт — требование — действие — повторная проверка.</w:t>
      </w:r>
    </w:p>
    <w:p>
      <w:pPr>
        <w:pStyle w:val="Heading1"/>
      </w:pPr>
      <w:r>
        <w:t>5. Оценивание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rPr>
          <w:tblHeader w:val="true"/>
        </w:trPr>
        <w:tc>
          <w:tcPr>
            <w:tcW w:type="dxa" w:w="5099"/>
            <w:vAlign w:val="center"/>
          </w:tcPr>
          <w:p>
            <w:r>
              <w:rPr>
                <w:b/>
              </w:rPr>
              <w:t>Компонент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Что оценивается</w:t>
            </w:r>
          </w:p>
        </w:tc>
      </w:tr>
      <w:tr>
        <w:tc>
          <w:tcPr>
            <w:tcW w:type="dxa" w:w="5099"/>
            <w:vAlign w:val="center"/>
          </w:tcPr>
          <w:p>
            <w:r>
              <w:t>Тест</w:t>
            </w:r>
          </w:p>
        </w:tc>
        <w:tc>
          <w:tcPr>
            <w:tcW w:type="dxa" w:w="5099"/>
            <w:vAlign w:val="center"/>
          </w:tcPr>
          <w:p>
            <w:r>
              <w:t>Понимание терминов и последовательности действий.</w:t>
            </w:r>
          </w:p>
        </w:tc>
      </w:tr>
      <w:tr>
        <w:tc>
          <w:tcPr>
            <w:tcW w:type="dxa" w:w="5099"/>
            <w:vAlign w:val="center"/>
          </w:tcPr>
          <w:p>
            <w:r>
              <w:t>Кейсы</w:t>
            </w:r>
          </w:p>
        </w:tc>
        <w:tc>
          <w:tcPr>
            <w:tcW w:type="dxa" w:w="5099"/>
            <w:vAlign w:val="center"/>
          </w:tcPr>
          <w:p>
            <w:r>
              <w:t>Способность выбрать исполнителя, сформулировать задание и контрольные точки.</w:t>
            </w:r>
          </w:p>
        </w:tc>
      </w:tr>
      <w:tr>
        <w:tc>
          <w:tcPr>
            <w:tcW w:type="dxa" w:w="5099"/>
            <w:vAlign w:val="center"/>
          </w:tcPr>
          <w:p>
            <w:r>
              <w:t>Ролевая отработка</w:t>
            </w:r>
          </w:p>
        </w:tc>
        <w:tc>
          <w:tcPr>
            <w:tcW w:type="dxa" w:w="5099"/>
            <w:vAlign w:val="center"/>
          </w:tcPr>
          <w:p>
            <w:r>
              <w:t>Ясность инструктажа, проверка понимания, реакция на отклонение.</w:t>
            </w:r>
          </w:p>
        </w:tc>
      </w:tr>
      <w:tr>
        <w:tc>
          <w:tcPr>
            <w:tcW w:type="dxa" w:w="5099"/>
            <w:vAlign w:val="center"/>
          </w:tcPr>
          <w:p>
            <w:r>
              <w:t>Итоговое задание</w:t>
            </w:r>
          </w:p>
        </w:tc>
        <w:tc>
          <w:tcPr>
            <w:tcW w:type="dxa" w:w="5099"/>
            <w:vAlign w:val="center"/>
          </w:tcPr>
          <w:p>
            <w:r>
              <w:t>Целостная организация сменного/участкового задания и оформление результата.</w:t>
            </w:r>
          </w:p>
        </w:tc>
      </w:tr>
    </w:tbl>
    <w:p>
      <w:pPr>
        <w:pStyle w:val="Heading1"/>
      </w:pPr>
      <w:r>
        <w:t>6. Итоговое задание</w:t>
      </w:r>
    </w:p>
    <w:p>
      <w:r>
        <w:t>Обучающемуся выдаётся учебная производственная ситуация с несколькими исполнителями, ограничениями по квалификации, перечнем оборудования и неожиданным изменением условий. Необходимо подготовить план, распределить задания, провести краткий инструктаж, задать контрольные точки, отреагировать на отклонение и завершить работу итоговой проверкой и записью.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