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  <w:br/>
      </w:r>
    </w:p>
    <w:p>
      <w:pPr>
        <w:jc w:val="center"/>
      </w:pPr>
      <w:r>
        <w:rPr>
          <w:b/>
          <w:sz w:val="36"/>
        </w:rPr>
        <w:t>Программа и сценарий модуля</w:t>
      </w:r>
    </w:p>
    <w:p>
      <w:pPr>
        <w:jc w:val="center"/>
      </w:pPr>
      <w:r>
        <w:rPr>
          <w:b/>
        </w:rPr>
        <w:t>МДК.01.03 «Организация и руководство работами, выполняемыми слесарями по КИПиА более низкой квалификации»</w:t>
      </w:r>
    </w:p>
    <w:p>
      <w:pPr>
        <w:jc w:val="center"/>
      </w:pPr>
      <w:r>
        <w:rPr>
          <w:b/>
        </w:rPr>
        <w:t>Тема 3.1. Контроль и организация работ, выполняемых слесарями по КИПиА более низкой квалификации</w:t>
      </w:r>
    </w:p>
    <w:p>
      <w:pPr>
        <w:jc w:val="center"/>
      </w:pPr>
      <w:r>
        <w:rPr>
          <w:i/>
        </w:rPr>
        <w:t>12 занятий по 2 академических часа</w:t>
      </w:r>
    </w:p>
    <w:p>
      <w:pPr>
        <w:jc w:val="center"/>
      </w:pPr>
      <w:r>
        <w:t>24 академических часа; отдельные часы ЛПЗ учебным планом не выделены</w:t>
        <w:br/>
        <w:t>КУПД «Слесарь по КИПиА» от 21.04.2026 № УПД-15</w:t>
      </w:r>
    </w:p>
    <w:p>
      <w:r>
        <w:rPr>
          <w:b/>
        </w:rPr>
        <w:t xml:space="preserve">Примечание. </w:t>
      </w:r>
      <w:r>
        <w:t>Официальные положения и состав темы основаны на КУПД. Учебные кейсы, чек-листы, вопросы и примеры являются методическим раскрытием этих положений.</w:t>
      </w:r>
    </w:p>
    <w:p>
      <w:pPr>
        <w:pStyle w:val="Heading1"/>
      </w:pPr>
      <w:r>
        <w:t>1. Цель модуля</w:t>
      </w:r>
    </w:p>
    <w:p>
      <w:r>
        <w:t>Сформировать у слесаря по КИПиА 6-го разряда умение организовывать и непосредственно контролировать работы исполнителей более низкой квалификации в пределах производственного задания, требований качества, безопасности и действующей документации.</w:t>
      </w:r>
    </w:p>
    <w:p>
      <w:pPr>
        <w:pStyle w:val="Heading1"/>
      </w:pPr>
      <w:r>
        <w:t>2. Официальный объём и место в программе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rPr>
          <w:tblHeader w:val="true"/>
        </w:trPr>
        <w:tc>
          <w:tcPr>
            <w:tcW w:type="dxa" w:w="5099"/>
            <w:vAlign w:val="center"/>
          </w:tcPr>
          <w:p>
            <w:r>
              <w:rPr>
                <w:b/>
              </w:rPr>
              <w:t>Показатель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  <w:vAlign w:val="center"/>
          </w:tcPr>
          <w:p>
            <w:r>
              <w:t>МДК</w:t>
            </w:r>
          </w:p>
        </w:tc>
        <w:tc>
          <w:tcPr>
            <w:tcW w:type="dxa" w:w="5099"/>
            <w:vAlign w:val="center"/>
          </w:tcPr>
          <w:p>
            <w:r>
              <w:t>МДК.01.03 «Организация и руководство работами, выполняемыми слесарями по КИПиА более низкой квалификации»</w:t>
            </w:r>
          </w:p>
        </w:tc>
      </w:tr>
      <w:tr>
        <w:tc>
          <w:tcPr>
            <w:tcW w:type="dxa" w:w="5099"/>
            <w:vAlign w:val="center"/>
          </w:tcPr>
          <w:p>
            <w:r>
              <w:t>Тема</w:t>
            </w:r>
          </w:p>
        </w:tc>
        <w:tc>
          <w:tcPr>
            <w:tcW w:type="dxa" w:w="5099"/>
            <w:vAlign w:val="center"/>
          </w:tcPr>
          <w:p>
            <w:r>
              <w:t>Тема 3.1. Контроль и организация работ, выполняемых слесарями по КИПиА более низкой квалификации</w:t>
            </w:r>
          </w:p>
        </w:tc>
      </w:tr>
      <w:tr>
        <w:tc>
          <w:tcPr>
            <w:tcW w:type="dxa" w:w="5099"/>
            <w:vAlign w:val="center"/>
          </w:tcPr>
          <w:p>
            <w:r>
              <w:t>Общий объём</w:t>
            </w:r>
          </w:p>
        </w:tc>
        <w:tc>
          <w:tcPr>
            <w:tcW w:type="dxa" w:w="5099"/>
            <w:vAlign w:val="center"/>
          </w:tcPr>
          <w:p>
            <w:r>
              <w:t>24 академических часа</w:t>
            </w:r>
          </w:p>
        </w:tc>
      </w:tr>
      <w:tr>
        <w:tc>
          <w:tcPr>
            <w:tcW w:type="dxa" w:w="5099"/>
            <w:vAlign w:val="center"/>
          </w:tcPr>
          <w:p>
            <w:r>
              <w:t>Отдельные часы ЛПЗ</w:t>
            </w:r>
          </w:p>
        </w:tc>
        <w:tc>
          <w:tcPr>
            <w:tcW w:type="dxa" w:w="5099"/>
            <w:vAlign w:val="center"/>
          </w:tcPr>
          <w:p>
            <w:r>
              <w:t>не выделены учебным планом</w:t>
            </w:r>
          </w:p>
        </w:tc>
      </w:tr>
      <w:tr>
        <w:tc>
          <w:tcPr>
            <w:tcW w:type="dxa" w:w="5099"/>
            <w:vAlign w:val="center"/>
          </w:tcPr>
          <w:p>
            <w:r>
              <w:t>Уровень освоения</w:t>
            </w:r>
          </w:p>
        </w:tc>
        <w:tc>
          <w:tcPr>
            <w:tcW w:type="dxa" w:w="5099"/>
            <w:vAlign w:val="center"/>
          </w:tcPr>
          <w:p>
            <w:r>
              <w:t>лекционный материал - 1; практическое освоение - 2</w:t>
            </w:r>
          </w:p>
        </w:tc>
      </w:tr>
    </w:tbl>
    <w:p>
      <w:pPr>
        <w:pStyle w:val="Heading1"/>
      </w:pPr>
      <w:r>
        <w:t>3. Содержание по КУПД</w:t>
      </w:r>
    </w:p>
    <w:p>
      <w:pPr>
        <w:pStyle w:val="ListBullet"/>
      </w:pPr>
      <w:r>
        <w:t>Особенности организации работы слесарей по КИПиА более низкой квалификации в составе бригад и звеньев.</w:t>
      </w:r>
    </w:p>
    <w:p>
      <w:pPr>
        <w:pStyle w:val="ListBullet"/>
      </w:pPr>
      <w:r>
        <w:t>Методы работы, обеспечивающие высокое качество, бережное отношение к оборудованию, механизмам, приспособлениям и инструментам, экономное расходование материалов и электроэнергии.</w:t>
      </w:r>
    </w:p>
    <w:p>
      <w:pPr>
        <w:pStyle w:val="ListBullet"/>
      </w:pPr>
      <w:r>
        <w:t>Безопасное проведение работ и непосредственное руководство работами слесарей по КИПиА.</w:t>
      </w:r>
    </w:p>
    <w:p>
      <w:pPr>
        <w:pStyle w:val="ListBullet"/>
      </w:pPr>
      <w:r>
        <w:t>Требования к качеству выполняемых работ, в том числе по смежным операциям и процессам.</w:t>
      </w:r>
    </w:p>
    <w:p>
      <w:pPr>
        <w:pStyle w:val="ListBullet"/>
      </w:pPr>
      <w:r>
        <w:t>Ознакомление работников с рабочим местом, безопасными приемами ведения работ, правилами внутреннего трудового распорядка и порядком проведения практики.</w:t>
      </w:r>
    </w:p>
    <w:p>
      <w:pPr>
        <w:pStyle w:val="ListBullet"/>
      </w:pPr>
      <w:r>
        <w:t>Планирование работ, расстановка исполнителей по рабочим местам и выдача заданий с учетом производственной необходимости.</w:t>
      </w:r>
    </w:p>
    <w:p>
      <w:pPr>
        <w:pStyle w:val="ListBullet"/>
      </w:pPr>
      <w:r>
        <w:t>Организация системы контроля качества на производственном участке, в бригаде и на рабочем месте.</w:t>
      </w:r>
    </w:p>
    <w:p>
      <w:pPr>
        <w:pStyle w:val="ListBullet"/>
      </w:pPr>
      <w:r>
        <w:t>Внедрение в производственный процесс опыта передовиков и новаторов производства.</w:t>
      </w:r>
    </w:p>
    <w:p>
      <w:pPr>
        <w:pStyle w:val="ListBullet"/>
      </w:pPr>
      <w:r>
        <w:t>Доведение обязанностей работников опасного производственного объекта.</w:t>
      </w:r>
    </w:p>
    <w:p>
      <w:pPr>
        <w:pStyle w:val="ListBullet"/>
      </w:pPr>
      <w:r>
        <w:t>Проведение целевых инструктажей.</w:t>
      </w:r>
    </w:p>
    <w:p>
      <w:pPr>
        <w:pStyle w:val="ListBullet"/>
      </w:pPr>
      <w:r>
        <w:t>Ознакомление с документацией участка и обучение приемам ее ведения.</w:t>
      </w:r>
    </w:p>
    <w:p>
      <w:pPr>
        <w:pStyle w:val="ListBullet"/>
      </w:pPr>
      <w:r>
        <w:t>Планирование действий коллектива исполнителей при нестандартных ситуациях.</w:t>
      </w:r>
    </w:p>
    <w:p>
      <w:pPr>
        <w:pStyle w:val="ListBullet"/>
      </w:pPr>
      <w:r>
        <w:t>Доведение требований охраны труда, технической эксплуатации, ПУЭ, пожарной безопасности и производственной санитарии.</w:t>
      </w:r>
    </w:p>
    <w:p>
      <w:pPr>
        <w:pStyle w:val="ListBullet"/>
      </w:pPr>
      <w:r>
        <w:t>Доведение информации об опасных и вредных факторах и средствах защиты.</w:t>
      </w:r>
    </w:p>
    <w:p>
      <w:pPr>
        <w:pStyle w:val="ListBullet"/>
      </w:pPr>
      <w:r>
        <w:t>Обучение практическим приемам оказания первой помощи пострадавшим.</w:t>
      </w:r>
    </w:p>
    <w:p>
      <w:pPr>
        <w:pStyle w:val="ListBullet"/>
      </w:pPr>
      <w:r>
        <w:t>Изучение обязанностей по плану ликвидации аварий и инцидентов и отработка действий по нему.</w:t>
      </w:r>
    </w:p>
    <w:p>
      <w:pPr>
        <w:pStyle w:val="Heading1"/>
      </w:pPr>
      <w:r>
        <w:t>4. Тематический план 12 занятий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rPr>
          <w:tblHeader w:val="true"/>
        </w:trPr>
        <w:tc>
          <w:tcPr>
            <w:tcW w:type="dxa" w:w="3400"/>
            <w:vAlign w:val="center"/>
          </w:tcPr>
          <w:p>
            <w:r>
              <w:rPr>
                <w:b/>
              </w:rPr>
              <w:t>№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Занятие</w:t>
            </w:r>
          </w:p>
        </w:tc>
        <w:tc>
          <w:tcPr>
            <w:tcW w:type="dxa" w:w="3400"/>
            <w:vAlign w:val="center"/>
          </w:tcPr>
          <w:p>
            <w:r>
              <w:rPr>
                <w:b/>
              </w:rPr>
              <w:t>Основное содержание</w:t>
            </w:r>
          </w:p>
        </w:tc>
      </w:tr>
      <w:tr>
        <w:tc>
          <w:tcPr>
            <w:tcW w:type="dxa" w:w="3400"/>
            <w:vAlign w:val="center"/>
          </w:tcPr>
          <w:p>
            <w:r>
              <w:t>1</w:t>
            </w:r>
          </w:p>
        </w:tc>
        <w:tc>
          <w:tcPr>
            <w:tcW w:type="dxa" w:w="3400"/>
            <w:vAlign w:val="center"/>
          </w:tcPr>
          <w:p>
            <w:r>
              <w:t>Роль руководителя работ и организация бригад/звеньев</w:t>
            </w:r>
          </w:p>
        </w:tc>
        <w:tc>
          <w:tcPr>
            <w:tcW w:type="dxa" w:w="3400"/>
            <w:vAlign w:val="center"/>
          </w:tcPr>
          <w:p>
            <w:r>
              <w:t>Организационная роль слесаря 6-го разряда; бригада и звено; постановка задачи; производственная коммуникация.</w:t>
            </w:r>
          </w:p>
        </w:tc>
      </w:tr>
      <w:tr>
        <w:tc>
          <w:tcPr>
            <w:tcW w:type="dxa" w:w="3400"/>
            <w:vAlign w:val="center"/>
          </w:tcPr>
          <w:p>
            <w:r>
              <w:t>2</w:t>
            </w:r>
          </w:p>
        </w:tc>
        <w:tc>
          <w:tcPr>
            <w:tcW w:type="dxa" w:w="3400"/>
            <w:vAlign w:val="center"/>
          </w:tcPr>
          <w:p>
            <w:r>
              <w:t>Качество, бережное отношение к оборудованию и ресурсам</w:t>
            </w:r>
          </w:p>
        </w:tc>
        <w:tc>
          <w:tcPr>
            <w:tcW w:type="dxa" w:w="3400"/>
            <w:vAlign w:val="center"/>
          </w:tcPr>
          <w:p>
            <w:r>
              <w:t>Качество работ и смежных операций; оборудование, инструмент, материалы и электроэнергия.</w:t>
            </w:r>
          </w:p>
        </w:tc>
      </w:tr>
      <w:tr>
        <w:tc>
          <w:tcPr>
            <w:tcW w:type="dxa" w:w="3400"/>
            <w:vAlign w:val="center"/>
          </w:tcPr>
          <w:p>
            <w:r>
              <w:t>3</w:t>
            </w:r>
          </w:p>
        </w:tc>
        <w:tc>
          <w:tcPr>
            <w:tcW w:type="dxa" w:w="3400"/>
            <w:vAlign w:val="center"/>
          </w:tcPr>
          <w:p>
            <w:r>
              <w:t>Ознакомление исполнителя с рабочим местом и безопасными приемами</w:t>
            </w:r>
          </w:p>
        </w:tc>
        <w:tc>
          <w:tcPr>
            <w:tcW w:type="dxa" w:w="3400"/>
            <w:vAlign w:val="center"/>
          </w:tcPr>
          <w:p>
            <w:r>
              <w:t>Рабочее место, безопасные приемы, внутренний распорядок, порядок практики и проверка понимания.</w:t>
            </w:r>
          </w:p>
        </w:tc>
      </w:tr>
      <w:tr>
        <w:tc>
          <w:tcPr>
            <w:tcW w:type="dxa" w:w="3400"/>
            <w:vAlign w:val="center"/>
          </w:tcPr>
          <w:p>
            <w:r>
              <w:t>4</w:t>
            </w:r>
          </w:p>
        </w:tc>
        <w:tc>
          <w:tcPr>
            <w:tcW w:type="dxa" w:w="3400"/>
            <w:vAlign w:val="center"/>
          </w:tcPr>
          <w:p>
            <w:r>
              <w:t>Планирование работ</w:t>
            </w:r>
          </w:p>
        </w:tc>
        <w:tc>
          <w:tcPr>
            <w:tcW w:type="dxa" w:w="3400"/>
            <w:vAlign w:val="center"/>
          </w:tcPr>
          <w:p>
            <w:r>
              <w:t>Объем и последовательность; приоритеты; ресурсы; сроки; контрольные точки.</w:t>
            </w:r>
          </w:p>
        </w:tc>
      </w:tr>
      <w:tr>
        <w:tc>
          <w:tcPr>
            <w:tcW w:type="dxa" w:w="3400"/>
            <w:vAlign w:val="center"/>
          </w:tcPr>
          <w:p>
            <w:r>
              <w:t>5</w:t>
            </w:r>
          </w:p>
        </w:tc>
        <w:tc>
          <w:tcPr>
            <w:tcW w:type="dxa" w:w="3400"/>
            <w:vAlign w:val="center"/>
          </w:tcPr>
          <w:p>
            <w:r>
              <w:t>Расстановка исполнителей и выдача заданий</w:t>
            </w:r>
          </w:p>
        </w:tc>
        <w:tc>
          <w:tcPr>
            <w:tcW w:type="dxa" w:w="3400"/>
            <w:vAlign w:val="center"/>
          </w:tcPr>
          <w:p>
            <w:r>
              <w:t>Квалификация, допуск, производственная необходимость, формулировка задания и критерии завершения.</w:t>
            </w:r>
          </w:p>
        </w:tc>
      </w:tr>
      <w:tr>
        <w:tc>
          <w:tcPr>
            <w:tcW w:type="dxa" w:w="3400"/>
            <w:vAlign w:val="center"/>
          </w:tcPr>
          <w:p>
            <w:r>
              <w:t>6</w:t>
            </w:r>
          </w:p>
        </w:tc>
        <w:tc>
          <w:tcPr>
            <w:tcW w:type="dxa" w:w="3400"/>
            <w:vAlign w:val="center"/>
          </w:tcPr>
          <w:p>
            <w:r>
              <w:t>Организация контроля качества</w:t>
            </w:r>
          </w:p>
        </w:tc>
        <w:tc>
          <w:tcPr>
            <w:tcW w:type="dxa" w:w="3400"/>
            <w:vAlign w:val="center"/>
          </w:tcPr>
          <w:p>
            <w:r>
              <w:t>Промежуточный контроль, приемка, замечания, повторная проверка и смежные операции.</w:t>
            </w:r>
          </w:p>
        </w:tc>
      </w:tr>
      <w:tr>
        <w:tc>
          <w:tcPr>
            <w:tcW w:type="dxa" w:w="3400"/>
            <w:vAlign w:val="center"/>
          </w:tcPr>
          <w:p>
            <w:r>
              <w:t>7</w:t>
            </w:r>
          </w:p>
        </w:tc>
        <w:tc>
          <w:tcPr>
            <w:tcW w:type="dxa" w:w="3400"/>
            <w:vAlign w:val="center"/>
          </w:tcPr>
          <w:p>
            <w:r>
              <w:t>Передовой опыт, наставничество и производственная обратная связь</w:t>
            </w:r>
          </w:p>
        </w:tc>
        <w:tc>
          <w:tcPr>
            <w:tcW w:type="dxa" w:w="3400"/>
            <w:vAlign w:val="center"/>
          </w:tcPr>
          <w:p>
            <w:r>
              <w:t>Передача рациональных приемов, обучение под наблюдением, корректирующая обратная связь.</w:t>
            </w:r>
          </w:p>
        </w:tc>
      </w:tr>
      <w:tr>
        <w:tc>
          <w:tcPr>
            <w:tcW w:type="dxa" w:w="3400"/>
            <w:vAlign w:val="center"/>
          </w:tcPr>
          <w:p>
            <w:r>
              <w:t>8</w:t>
            </w:r>
          </w:p>
        </w:tc>
        <w:tc>
          <w:tcPr>
            <w:tcW w:type="dxa" w:w="3400"/>
            <w:vAlign w:val="center"/>
          </w:tcPr>
          <w:p>
            <w:r>
              <w:t>Обязанности работников ОПО и целевые инструктажи</w:t>
            </w:r>
          </w:p>
        </w:tc>
        <w:tc>
          <w:tcPr>
            <w:tcW w:type="dxa" w:w="3400"/>
            <w:vAlign w:val="center"/>
          </w:tcPr>
          <w:p>
            <w:r>
              <w:t>Обязанности, опасные факторы, целевой инструктаж, проверка понимания и фиксация.</w:t>
            </w:r>
          </w:p>
        </w:tc>
      </w:tr>
      <w:tr>
        <w:tc>
          <w:tcPr>
            <w:tcW w:type="dxa" w:w="3400"/>
            <w:vAlign w:val="center"/>
          </w:tcPr>
          <w:p>
            <w:r>
              <w:t>9</w:t>
            </w:r>
          </w:p>
        </w:tc>
        <w:tc>
          <w:tcPr>
            <w:tcW w:type="dxa" w:w="3400"/>
            <w:vAlign w:val="center"/>
          </w:tcPr>
          <w:p>
            <w:r>
              <w:t>Документация участка</w:t>
            </w:r>
          </w:p>
        </w:tc>
        <w:tc>
          <w:tcPr>
            <w:tcW w:type="dxa" w:w="3400"/>
            <w:vAlign w:val="center"/>
          </w:tcPr>
          <w:p>
            <w:r>
              <w:t>Актуальность документов, применение инструкций, обучение оформлению и прослеживаемость.</w:t>
            </w:r>
          </w:p>
        </w:tc>
      </w:tr>
      <w:tr>
        <w:tc>
          <w:tcPr>
            <w:tcW w:type="dxa" w:w="3400"/>
            <w:vAlign w:val="center"/>
          </w:tcPr>
          <w:p>
            <w:r>
              <w:t>10</w:t>
            </w:r>
          </w:p>
        </w:tc>
        <w:tc>
          <w:tcPr>
            <w:tcW w:type="dxa" w:w="3400"/>
            <w:vAlign w:val="center"/>
          </w:tcPr>
          <w:p>
            <w:r>
              <w:t>Планирование действий в нестандартных ситуациях</w:t>
            </w:r>
          </w:p>
        </w:tc>
        <w:tc>
          <w:tcPr>
            <w:tcW w:type="dxa" w:w="3400"/>
            <w:vAlign w:val="center"/>
          </w:tcPr>
          <w:p>
            <w:r>
              <w:t>Распознавание отклонения, ограничение риска, сообщение, распределение ролей и инструкции.</w:t>
            </w:r>
          </w:p>
        </w:tc>
      </w:tr>
      <w:tr>
        <w:tc>
          <w:tcPr>
            <w:tcW w:type="dxa" w:w="3400"/>
            <w:vAlign w:val="center"/>
          </w:tcPr>
          <w:p>
            <w:r>
              <w:t>11</w:t>
            </w:r>
          </w:p>
        </w:tc>
        <w:tc>
          <w:tcPr>
            <w:tcW w:type="dxa" w:w="3400"/>
            <w:vAlign w:val="center"/>
          </w:tcPr>
          <w:p>
            <w:r>
              <w:t>Охрана труда, эксплуатация, ПУЭ, пожарная безопасность, санитария и первая помощь</w:t>
            </w:r>
          </w:p>
        </w:tc>
        <w:tc>
          <w:tcPr>
            <w:tcW w:type="dxa" w:w="3400"/>
            <w:vAlign w:val="center"/>
          </w:tcPr>
          <w:p>
            <w:r>
              <w:t>Комплекс требований, опасные факторы, средства защиты и обучение первой помощи.</w:t>
            </w:r>
          </w:p>
        </w:tc>
      </w:tr>
      <w:tr>
        <w:tc>
          <w:tcPr>
            <w:tcW w:type="dxa" w:w="3400"/>
            <w:vAlign w:val="center"/>
          </w:tcPr>
          <w:p>
            <w:r>
              <w:t>12</w:t>
            </w:r>
          </w:p>
        </w:tc>
        <w:tc>
          <w:tcPr>
            <w:tcW w:type="dxa" w:w="3400"/>
            <w:vAlign w:val="center"/>
          </w:tcPr>
          <w:p>
            <w:r>
              <w:t>План ликвидации аварий и итоговая организация работ</w:t>
            </w:r>
          </w:p>
        </w:tc>
        <w:tc>
          <w:tcPr>
            <w:tcW w:type="dxa" w:w="3400"/>
            <w:vAlign w:val="center"/>
          </w:tcPr>
          <w:p>
            <w:r>
              <w:t>Обязанности по плану, действия коллектива, связь и итоговый цикл организации работ.</w:t>
            </w:r>
          </w:p>
        </w:tc>
      </w:tr>
    </w:tbl>
    <w:p>
      <w:pPr>
        <w:pStyle w:val="Heading1"/>
      </w:pPr>
      <w:r>
        <w:t>5. Организация встроенной практики</w:t>
      </w:r>
    </w:p>
    <w:p>
      <w:r>
        <w:t>Поскольку отдельные часы лабораторно-практических занятий КУПД не выделяет, практическое закрепление включается внутрь каждого занятия: разбор производственной ситуации, формулировка задания, проверка понимания, контрольная точка и оформление результата.</w:t>
      </w:r>
    </w:p>
    <w:p>
      <w:pPr>
        <w:pStyle w:val="Heading1"/>
      </w:pPr>
      <w:r>
        <w:t>6. Итоговая оценка</w:t>
      </w:r>
    </w:p>
    <w:p>
      <w:r>
        <w:t>Итоговая оценка формируется по результатам теста, решения производственных кейсов и защиты итогового задания по организации работы небольшой группы исполнителей.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20_integrated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Интегрированный цикл организации работ.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