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</w:rPr>
        <w:t>КИПиА ЯМАЛ</w:t>
        <w:br/>
        <w:t>6-й разряд · МДК.01.02</w:t>
        <w:br/>
      </w:r>
    </w:p>
    <w:p>
      <w:pPr>
        <w:jc w:val="center"/>
      </w:pPr>
      <w:r>
        <w:rPr>
          <w:b/>
          <w:sz w:val="36"/>
        </w:rPr>
        <w:t>Методические указания преподавателю</w:t>
      </w:r>
    </w:p>
    <w:p>
      <w:pPr>
        <w:jc w:val="center"/>
      </w:pPr>
      <w:r>
        <w:rPr>
          <w:b/>
        </w:rPr>
        <w:t>Тема 2.6. Промышленные сети и интерфейсы</w:t>
      </w:r>
    </w:p>
    <w:p>
      <w:pPr>
        <w:jc w:val="center"/>
      </w:pPr>
      <w:r>
        <w:t>КУПД «Слесарь по КИПиА» от 21.04.2026 № УПД-15</w:t>
      </w:r>
    </w:p>
    <w:p>
      <w:pPr>
        <w:pStyle w:val="Heading1"/>
      </w:pPr>
      <w:r>
        <w:t>Методическая цель</w:t>
      </w:r>
    </w:p>
    <w:p>
      <w:r>
        <w:t>Сделать акцент не на запоминании численных пределов стандартов, а на правильной структуре сети, параметрах обмена и последовательности диагностики.</w:t>
      </w:r>
    </w:p>
    <w:p>
      <w:pPr>
        <w:pStyle w:val="Heading1"/>
      </w:pPr>
      <w:r>
        <w:t>Ключевые акценты</w:t>
      </w:r>
    </w:p>
    <w:p>
      <w:pPr>
        <w:pStyle w:val="ListBullet"/>
      </w:pPr>
      <w:r>
        <w:t>RS-232 показывать как простое соединение точка-точка.</w:t>
      </w:r>
    </w:p>
    <w:p>
      <w:pPr>
        <w:pStyle w:val="ListBullet"/>
      </w:pPr>
      <w:r>
        <w:t>RS-485 объяснять через дифференциальную пару, магистраль и терминаторы.</w:t>
      </w:r>
    </w:p>
    <w:p>
      <w:pPr>
        <w:pStyle w:val="ListBullet"/>
      </w:pPr>
      <w:r>
        <w:t>Разделять физический интерфейс RS-485 и прикладной протокол Modbus.</w:t>
      </w:r>
    </w:p>
    <w:p>
      <w:pPr>
        <w:pStyle w:val="ListBullet"/>
      </w:pPr>
      <w:r>
        <w:t>HART связывать с уже изученной токовой петлёй 4–20 мА.</w:t>
      </w:r>
    </w:p>
    <w:p>
      <w:pPr>
        <w:pStyle w:val="ListBullet"/>
      </w:pPr>
      <w:r>
        <w:t>CRC объяснять как контроль целостности сообщения, а не средство исправления ошибок.</w:t>
      </w:r>
    </w:p>
    <w:p>
      <w:pPr>
        <w:pStyle w:val="ListBullet"/>
      </w:pPr>
      <w:r>
        <w:t>Ethernet показывать как основу сети верхнего уровня и связи контроллеров/HMI.</w:t>
      </w:r>
    </w:p>
    <w:p>
      <w:pPr>
        <w:pStyle w:val="ListBullet"/>
      </w:pPr>
      <w:r>
        <w:t>Оптоволокно связывать с помехоустойчивостью и электрической развязкой.</w:t>
      </w:r>
    </w:p>
    <w:p>
      <w:pPr>
        <w:pStyle w:val="ListBullet"/>
      </w:pPr>
      <w:r>
        <w:t>Диагностику выполнять от физического уровня к настройкам и протоколу.</w:t>
      </w:r>
    </w:p>
    <w:p>
      <w:pPr>
        <w:pStyle w:val="Heading1"/>
      </w:pPr>
      <w:r>
        <w:t>Практика</w:t>
      </w:r>
    </w:p>
    <w:p>
      <w:r>
        <w:t>Официальная практическая часть КУПД — работа с АОС «Системы КИПиА компрессорной станции». Дополнительные задания в комплекте служат подготовкой к этой работе и не заменяют её.</w:t>
      </w:r>
    </w:p>
    <w:sectPr w:rsidR="00FC693F" w:rsidRPr="0006063C" w:rsidSect="00034616">
      <w:pgSz w:w="12240" w:h="15840"/>
      <w:pgMar w:top="964" w:right="964" w:bottom="964" w:left="119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 w:eastAsia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 w:ascii="Arial" w:hAnsi="Arial" w:eastAsia="Arial"/>
      <w:b/>
      <w:bCs/>
      <w:color w:val="365F91" w:themeColor="accent1" w:themeShade="BF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Arial" w:hAnsi="Arial" w:eastAsia="Arial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 w:ascii="Arial" w:hAnsi="Arial" w:eastAsia="Arial"/>
      <w:b/>
      <w:bCs/>
      <w:color w:val="4F81BD" w:themeColor="accent1"/>
      <w:sz w:val="2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