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Тема 2.5. Основы автоматического регулирования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Методическая цель</w:t>
      </w:r>
    </w:p>
    <w:p>
      <w:r>
        <w:t>Связать абстрактные понятия ТАУ с реальными контурами КИПиА: давление, температура, расход и уровень. Основной акцент — не математический вывод, а распознавание структуры контура, характера объекта, качества процесса и действия разных законов регулирования.</w:t>
      </w:r>
    </w:p>
    <w:p>
      <w:pPr>
        <w:pStyle w:val="Heading1"/>
      </w:pPr>
      <w:r>
        <w:t>Ключевые акценты</w:t>
      </w:r>
    </w:p>
    <w:p>
      <w:pPr>
        <w:pStyle w:val="ListBullet"/>
      </w:pPr>
      <w:r>
        <w:t>Сначала показать типовую САР и сигнал ошибки, затем переходить к законам регулирования.</w:t>
      </w:r>
    </w:p>
    <w:p>
      <w:pPr>
        <w:pStyle w:val="ListBullet"/>
      </w:pPr>
      <w:r>
        <w:t>Отдельно различать регулирование по возмущению и по отклонению.</w:t>
      </w:r>
    </w:p>
    <w:p>
      <w:pPr>
        <w:pStyle w:val="ListBullet"/>
      </w:pPr>
      <w:r>
        <w:t>Кривую разгона связывать с реальным технологическим объектом.</w:t>
      </w:r>
    </w:p>
    <w:p>
      <w:pPr>
        <w:pStyle w:val="ListBullet"/>
      </w:pPr>
      <w:r>
        <w:t>Не смешивать статическую ошибку и мгновенное отклонение во время переходного процесса.</w:t>
      </w:r>
    </w:p>
    <w:p>
      <w:pPr>
        <w:pStyle w:val="ListBullet"/>
      </w:pPr>
      <w:r>
        <w:t>П, И и Д составляющие объяснять по физическому смыслу.</w:t>
      </w:r>
    </w:p>
    <w:p>
      <w:pPr>
        <w:pStyle w:val="ListBullet"/>
      </w:pPr>
      <w:r>
        <w:t>ПД рассматривать отдельно, потому что он прямо включён в КУПД.</w:t>
      </w:r>
    </w:p>
    <w:p>
      <w:pPr>
        <w:pStyle w:val="ListBullet"/>
      </w:pPr>
      <w:r>
        <w:t>Позиционное регулирование показывать на простом ВКЛ/ВЫКЛ примере с гистерезисом.</w:t>
      </w:r>
    </w:p>
    <w:p>
      <w:pPr>
        <w:pStyle w:val="ListBullet"/>
      </w:pPr>
      <w:r>
        <w:t>Выбор регулятора не сводить к правилу «ПИД всегда лучше»: учитывать объект, требования к качеству и исполнительный механизм.</w:t>
      </w:r>
    </w:p>
    <w:p>
      <w:pPr>
        <w:pStyle w:val="ListBullet"/>
      </w:pPr>
      <w:r>
        <w:t>ЛПЗ закончить диагностикой контура по цепочке датчик → регулятор → выход → исполнитель → объект.</w:t>
      </w:r>
    </w:p>
    <w:p>
      <w:pPr>
        <w:pStyle w:val="Heading1"/>
      </w:pPr>
      <w:r>
        <w:t>Контроль освоения</w:t>
      </w:r>
    </w:p>
    <w:p>
      <w:r>
        <w:t>Тест из 15 вопросов, защита графика переходного процесса и устное обоснование выбора регулятора для одного технологического объекта.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