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6"/>
        </w:rPr>
        <w:t>КИПиА ЯМАЛ</w:t>
        <w:br/>
        <w:t>Учебно-методический комплект</w:t>
      </w:r>
    </w:p>
    <w:p/>
    <w:p/>
    <w:p/>
    <w:p>
      <w:pPr>
        <w:jc w:val="center"/>
      </w:pPr>
      <w:r>
        <w:rPr>
          <w:rFonts w:ascii="Times New Roman" w:hAnsi="Times New Roman"/>
          <w:b/>
          <w:sz w:val="40"/>
        </w:rPr>
        <w:t>ПОЛНЫЙ ЛЕКЦИОННЫЙ МАТЕРИАЛ</w:t>
        <w:br/>
        <w:t>на 10 академических часов</w:t>
      </w:r>
    </w:p>
    <w:p/>
    <w:p/>
    <w:p>
      <w:pPr>
        <w:jc w:val="center"/>
      </w:pPr>
      <w:r>
        <w:rPr>
          <w:rFonts w:ascii="Times New Roman" w:hAnsi="Times New Roman"/>
          <w:sz w:val="30"/>
        </w:rPr>
        <w:t>МДК.01.01 «Слесарь по КИПиА 6-го разряда»</w:t>
        <w:br/>
        <w:t>Тема 1.4</w:t>
        <w:br/>
        <w:t>«Выполнение работ по проведению поверки, испытанию и сдаче в эксплуатацию уникальных, опытных и экспериментальных контрольно-измерительных приборов»</w:t>
      </w:r>
    </w:p>
    <w:p/>
    <w:p/>
    <w:p/>
    <w:p/>
    <w:p/>
    <w:p/>
    <w:p/>
    <w:p/>
    <w:p/>
    <w:p/>
    <w:p>
      <w:pPr>
        <w:jc w:val="right"/>
      </w:pPr>
      <w:r>
        <w:rPr>
          <w:rFonts w:ascii="Times New Roman" w:hAnsi="Times New Roman"/>
          <w:sz w:val="24"/>
        </w:rPr>
        <w:t>Подготовлено как расширенная лекция</w:t>
        <w:br/>
        <w:t>с оглавлением, схемами и заданиями для самоконтроля</w:t>
        <w:br/>
        <w:t>27.09.2026</w:t>
      </w:r>
    </w:p>
    <w:p>
      <w:r>
        <w:br w:type="page"/>
      </w:r>
    </w:p>
    <w:p>
      <w:pPr>
        <w:spacing w:after="80" w:line="220" w:lineRule="auto"/>
        <w:tabs>
          <w:tab w:val="right" w:leader="dot" w:pos="9072"/>
        </w:tabs>
        <w:jc w:val="center"/>
      </w:pPr>
      <w:r>
        <w:rPr>
          <w:rFonts w:ascii="Times New Roman" w:hAnsi="Times New Roman" w:cs="Times New Roman"/>
          <w:sz w:val="28"/>
          <w:b/>
        </w:rPr>
        <w:t>СОДЕРЖАНИЕ</w:t>
      </w:r>
    </w:p>
    <w:p>
      <w:pPr>
        <w:spacing w:after="0" w:line="176" w:lineRule="auto"/>
        <w:tabs>
          <w:tab w:val="right" w:leader="dot" w:pos="9072"/>
        </w:tabs>
      </w:pPr>
      <w:hyperlink w:anchor="toc_sec_001">
        <w:r>
          <w:rPr>
            <w:rFonts w:ascii="Times New Roman" w:hAnsi="Times New Roman" w:cs="Times New Roman"/>
            <w:sz w:val="18"/>
            <w:color w:val="0563C1"/>
            <w:u w:val="single"/>
            <w:b/>
          </w:rPr>
          <w:t>Назначение документа</w:t>
        </w:r>
      </w:hyperlink>
      <w:r>
        <w:tab/>
      </w:r>
      <w:r>
        <w:rPr>
          <w:rFonts w:ascii="Times New Roman" w:hAnsi="Times New Roman" w:cs="Times New Roman"/>
          <w:sz w:val="18"/>
          <w:b/>
        </w:rPr>
        <w:t>3</w:t>
      </w:r>
    </w:p>
    <w:p>
      <w:pPr>
        <w:spacing w:after="0" w:line="176" w:lineRule="auto"/>
        <w:ind w:left="300"/>
        <w:tabs>
          <w:tab w:val="right" w:leader="dot" w:pos="9072"/>
        </w:tabs>
      </w:pPr>
      <w:hyperlink w:anchor="toc_sec_002">
        <w:r>
          <w:rPr>
            <w:rFonts w:ascii="Times New Roman" w:hAnsi="Times New Roman" w:cs="Times New Roman"/>
            <w:sz w:val="17"/>
            <w:color w:val="0563C1"/>
            <w:u w:val="single"/>
          </w:rPr>
          <w:t>Как работать с материалом</w:t>
        </w:r>
      </w:hyperlink>
      <w:r>
        <w:tab/>
      </w:r>
      <w:r>
        <w:rPr>
          <w:rFonts w:ascii="Times New Roman" w:hAnsi="Times New Roman" w:cs="Times New Roman"/>
          <w:sz w:val="17"/>
        </w:rPr>
        <w:t>3</w:t>
      </w:r>
    </w:p>
    <w:p>
      <w:pPr>
        <w:spacing w:after="0" w:line="176" w:lineRule="auto"/>
        <w:ind w:left="300"/>
        <w:tabs>
          <w:tab w:val="right" w:leader="dot" w:pos="9072"/>
        </w:tabs>
      </w:pPr>
      <w:hyperlink w:anchor="toc_sec_003">
        <w:r>
          <w:rPr>
            <w:rFonts w:ascii="Times New Roman" w:hAnsi="Times New Roman" w:cs="Times New Roman"/>
            <w:sz w:val="17"/>
            <w:color w:val="0563C1"/>
            <w:u w:val="single"/>
          </w:rPr>
          <w:t>Результаты обучения</w:t>
        </w:r>
      </w:hyperlink>
      <w:r>
        <w:tab/>
      </w:r>
      <w:r>
        <w:rPr>
          <w:rFonts w:ascii="Times New Roman" w:hAnsi="Times New Roman" w:cs="Times New Roman"/>
          <w:sz w:val="17"/>
        </w:rPr>
        <w:t>3</w:t>
      </w:r>
    </w:p>
    <w:p>
      <w:pPr>
        <w:spacing w:after="0" w:line="176" w:lineRule="auto"/>
        <w:ind w:left="300"/>
        <w:tabs>
          <w:tab w:val="right" w:leader="dot" w:pos="9072"/>
        </w:tabs>
      </w:pPr>
      <w:hyperlink w:anchor="toc_sec_004">
        <w:r>
          <w:rPr>
            <w:rFonts w:ascii="Times New Roman" w:hAnsi="Times New Roman" w:cs="Times New Roman"/>
            <w:sz w:val="17"/>
            <w:color w:val="0563C1"/>
            <w:u w:val="single"/>
          </w:rPr>
          <w:t>Структура 10-часового курса</w:t>
        </w:r>
      </w:hyperlink>
      <w:r>
        <w:tab/>
      </w:r>
      <w:r>
        <w:rPr>
          <w:rFonts w:ascii="Times New Roman" w:hAnsi="Times New Roman" w:cs="Times New Roman"/>
          <w:sz w:val="17"/>
        </w:rPr>
        <w:t>3</w:t>
      </w:r>
    </w:p>
    <w:p>
      <w:pPr>
        <w:spacing w:after="0" w:line="176" w:lineRule="auto"/>
        <w:ind w:left="300"/>
        <w:tabs>
          <w:tab w:val="right" w:leader="dot" w:pos="9072"/>
        </w:tabs>
      </w:pPr>
      <w:hyperlink w:anchor="toc_sec_005">
        <w:r>
          <w:rPr>
            <w:rFonts w:ascii="Times New Roman" w:hAnsi="Times New Roman" w:cs="Times New Roman"/>
            <w:sz w:val="17"/>
            <w:color w:val="0563C1"/>
            <w:u w:val="single"/>
          </w:rPr>
          <w:t>Ключевые понятия</w:t>
        </w:r>
      </w:hyperlink>
      <w:r>
        <w:tab/>
      </w:r>
      <w:r>
        <w:rPr>
          <w:rFonts w:ascii="Times New Roman" w:hAnsi="Times New Roman" w:cs="Times New Roman"/>
          <w:sz w:val="17"/>
        </w:rPr>
        <w:t>4</w:t>
      </w:r>
    </w:p>
    <w:p>
      <w:pPr>
        <w:spacing w:after="0" w:line="176" w:lineRule="auto"/>
        <w:tabs>
          <w:tab w:val="right" w:leader="dot" w:pos="9072"/>
        </w:tabs>
      </w:pPr>
      <w:hyperlink w:anchor="toc_sec_006">
        <w:r>
          <w:rPr>
            <w:rFonts w:ascii="Times New Roman" w:hAnsi="Times New Roman" w:cs="Times New Roman"/>
            <w:sz w:val="18"/>
            <w:color w:val="0563C1"/>
            <w:u w:val="single"/>
            <w:b/>
          </w:rPr>
          <w:t>Занятие 1. Подготовка работ и рабочего места</w:t>
        </w:r>
      </w:hyperlink>
      <w:r>
        <w:tab/>
      </w:r>
      <w:r>
        <w:rPr>
          <w:rFonts w:ascii="Times New Roman" w:hAnsi="Times New Roman" w:cs="Times New Roman"/>
          <w:sz w:val="18"/>
          <w:b/>
        </w:rPr>
        <w:t>5</w:t>
      </w:r>
    </w:p>
    <w:p>
      <w:pPr>
        <w:spacing w:after="0" w:line="176" w:lineRule="auto"/>
        <w:ind w:left="300"/>
        <w:tabs>
          <w:tab w:val="right" w:leader="dot" w:pos="9072"/>
        </w:tabs>
      </w:pPr>
      <w:hyperlink w:anchor="toc_sec_007">
        <w:r>
          <w:rPr>
            <w:rFonts w:ascii="Times New Roman" w:hAnsi="Times New Roman" w:cs="Times New Roman"/>
            <w:sz w:val="17"/>
            <w:color w:val="0563C1"/>
            <w:u w:val="single"/>
          </w:rPr>
          <w:t>1.1. Почему работа начинается не с подключения, а с анализа задания</w:t>
        </w:r>
      </w:hyperlink>
      <w:r>
        <w:tab/>
      </w:r>
      <w:r>
        <w:rPr>
          <w:rFonts w:ascii="Times New Roman" w:hAnsi="Times New Roman" w:cs="Times New Roman"/>
          <w:sz w:val="17"/>
        </w:rPr>
        <w:t>5</w:t>
      </w:r>
    </w:p>
    <w:p>
      <w:pPr>
        <w:spacing w:after="0" w:line="176" w:lineRule="auto"/>
        <w:ind w:left="300"/>
        <w:tabs>
          <w:tab w:val="right" w:leader="dot" w:pos="9072"/>
        </w:tabs>
      </w:pPr>
      <w:hyperlink w:anchor="toc_sec_008">
        <w:r>
          <w:rPr>
            <w:rFonts w:ascii="Times New Roman" w:hAnsi="Times New Roman" w:cs="Times New Roman"/>
            <w:sz w:val="17"/>
            <w:color w:val="0563C1"/>
            <w:u w:val="single"/>
          </w:rPr>
          <w:t>1.2. Идентификация уникального, опытного и экспериментального прибора</w:t>
        </w:r>
      </w:hyperlink>
      <w:r>
        <w:tab/>
      </w:r>
      <w:r>
        <w:rPr>
          <w:rFonts w:ascii="Times New Roman" w:hAnsi="Times New Roman" w:cs="Times New Roman"/>
          <w:sz w:val="17"/>
        </w:rPr>
        <w:t>6</w:t>
      </w:r>
    </w:p>
    <w:p>
      <w:pPr>
        <w:spacing w:after="0" w:line="176" w:lineRule="auto"/>
        <w:ind w:left="300"/>
        <w:tabs>
          <w:tab w:val="right" w:leader="dot" w:pos="9072"/>
        </w:tabs>
      </w:pPr>
      <w:hyperlink w:anchor="toc_sec_009">
        <w:r>
          <w:rPr>
            <w:rFonts w:ascii="Times New Roman" w:hAnsi="Times New Roman" w:cs="Times New Roman"/>
            <w:sz w:val="17"/>
            <w:color w:val="0563C1"/>
            <w:u w:val="single"/>
          </w:rPr>
          <w:t>1.3. Комплект исходной документации и его проверка</w:t>
        </w:r>
      </w:hyperlink>
      <w:r>
        <w:tab/>
      </w:r>
      <w:r>
        <w:rPr>
          <w:rFonts w:ascii="Times New Roman" w:hAnsi="Times New Roman" w:cs="Times New Roman"/>
          <w:sz w:val="17"/>
        </w:rPr>
        <w:t>6</w:t>
      </w:r>
    </w:p>
    <w:p>
      <w:pPr>
        <w:spacing w:after="0" w:line="176" w:lineRule="auto"/>
        <w:ind w:left="300"/>
        <w:tabs>
          <w:tab w:val="right" w:leader="dot" w:pos="9072"/>
        </w:tabs>
      </w:pPr>
      <w:hyperlink w:anchor="toc_sec_010">
        <w:r>
          <w:rPr>
            <w:rFonts w:ascii="Times New Roman" w:hAnsi="Times New Roman" w:cs="Times New Roman"/>
            <w:sz w:val="17"/>
            <w:color w:val="0563C1"/>
            <w:u w:val="single"/>
          </w:rPr>
          <w:t>1.4. Подготовка зоны работ</w:t>
        </w:r>
      </w:hyperlink>
      <w:r>
        <w:tab/>
      </w:r>
      <w:r>
        <w:rPr>
          <w:rFonts w:ascii="Times New Roman" w:hAnsi="Times New Roman" w:cs="Times New Roman"/>
          <w:sz w:val="17"/>
        </w:rPr>
        <w:t>7</w:t>
      </w:r>
    </w:p>
    <w:p>
      <w:pPr>
        <w:spacing w:after="0" w:line="176" w:lineRule="auto"/>
        <w:ind w:left="300"/>
        <w:tabs>
          <w:tab w:val="right" w:leader="dot" w:pos="9072"/>
        </w:tabs>
      </w:pPr>
      <w:hyperlink w:anchor="toc_sec_011">
        <w:r>
          <w:rPr>
            <w:rFonts w:ascii="Times New Roman" w:hAnsi="Times New Roman" w:cs="Times New Roman"/>
            <w:sz w:val="17"/>
            <w:color w:val="0563C1"/>
            <w:u w:val="single"/>
          </w:rPr>
          <w:t>1.5. Инструмент, средства контроля и средства защиты</w:t>
        </w:r>
      </w:hyperlink>
      <w:r>
        <w:tab/>
      </w:r>
      <w:r>
        <w:rPr>
          <w:rFonts w:ascii="Times New Roman" w:hAnsi="Times New Roman" w:cs="Times New Roman"/>
          <w:sz w:val="17"/>
        </w:rPr>
        <w:t>8</w:t>
      </w:r>
    </w:p>
    <w:p>
      <w:pPr>
        <w:spacing w:after="0" w:line="176" w:lineRule="auto"/>
        <w:ind w:left="300"/>
        <w:tabs>
          <w:tab w:val="right" w:leader="dot" w:pos="9072"/>
        </w:tabs>
      </w:pPr>
      <w:hyperlink w:anchor="toc_sec_012">
        <w:r>
          <w:rPr>
            <w:rFonts w:ascii="Times New Roman" w:hAnsi="Times New Roman" w:cs="Times New Roman"/>
            <w:sz w:val="17"/>
            <w:color w:val="0563C1"/>
            <w:u w:val="single"/>
          </w:rPr>
          <w:t>1.6. Оценка рисков и стоп-условия</w:t>
        </w:r>
      </w:hyperlink>
      <w:r>
        <w:tab/>
      </w:r>
      <w:r>
        <w:rPr>
          <w:rFonts w:ascii="Times New Roman" w:hAnsi="Times New Roman" w:cs="Times New Roman"/>
          <w:sz w:val="17"/>
        </w:rPr>
        <w:t>8</w:t>
      </w:r>
    </w:p>
    <w:p>
      <w:pPr>
        <w:spacing w:after="0" w:line="176" w:lineRule="auto"/>
        <w:tabs>
          <w:tab w:val="right" w:leader="dot" w:pos="9072"/>
        </w:tabs>
      </w:pPr>
      <w:hyperlink w:anchor="toc_sec_016">
        <w:r>
          <w:rPr>
            <w:rFonts w:ascii="Times New Roman" w:hAnsi="Times New Roman" w:cs="Times New Roman"/>
            <w:sz w:val="18"/>
            <w:color w:val="0563C1"/>
            <w:u w:val="single"/>
            <w:b/>
          </w:rPr>
          <w:t>Занятие 2. Вскрытие, демонтаж, очистка, перемещение и монтаж</w:t>
        </w:r>
      </w:hyperlink>
      <w:r>
        <w:tab/>
      </w:r>
      <w:r>
        <w:rPr>
          <w:rFonts w:ascii="Times New Roman" w:hAnsi="Times New Roman" w:cs="Times New Roman"/>
          <w:sz w:val="18"/>
          <w:b/>
        </w:rPr>
        <w:t>11</w:t>
      </w:r>
    </w:p>
    <w:p>
      <w:pPr>
        <w:spacing w:after="0" w:line="176" w:lineRule="auto"/>
        <w:ind w:left="300"/>
        <w:tabs>
          <w:tab w:val="right" w:leader="dot" w:pos="9072"/>
        </w:tabs>
      </w:pPr>
      <w:hyperlink w:anchor="toc_sec_017">
        <w:r>
          <w:rPr>
            <w:rFonts w:ascii="Times New Roman" w:hAnsi="Times New Roman" w:cs="Times New Roman"/>
            <w:sz w:val="17"/>
            <w:color w:val="0563C1"/>
            <w:u w:val="single"/>
          </w:rPr>
          <w:t>2.1. Фиксация исходного состояния до разборки</w:t>
        </w:r>
      </w:hyperlink>
      <w:r>
        <w:tab/>
      </w:r>
      <w:r>
        <w:rPr>
          <w:rFonts w:ascii="Times New Roman" w:hAnsi="Times New Roman" w:cs="Times New Roman"/>
          <w:sz w:val="17"/>
        </w:rPr>
        <w:t>11</w:t>
      </w:r>
    </w:p>
    <w:p>
      <w:pPr>
        <w:spacing w:after="0" w:line="176" w:lineRule="auto"/>
        <w:ind w:left="300"/>
        <w:tabs>
          <w:tab w:val="right" w:leader="dot" w:pos="9072"/>
        </w:tabs>
      </w:pPr>
      <w:hyperlink w:anchor="toc_sec_018">
        <w:r>
          <w:rPr>
            <w:rFonts w:ascii="Times New Roman" w:hAnsi="Times New Roman" w:cs="Times New Roman"/>
            <w:sz w:val="17"/>
            <w:color w:val="0563C1"/>
            <w:u w:val="single"/>
          </w:rPr>
          <w:t>2.2. Безопасное вскрытие корпуса</w:t>
        </w:r>
      </w:hyperlink>
      <w:r>
        <w:tab/>
      </w:r>
      <w:r>
        <w:rPr>
          <w:rFonts w:ascii="Times New Roman" w:hAnsi="Times New Roman" w:cs="Times New Roman"/>
          <w:sz w:val="17"/>
        </w:rPr>
        <w:t>11</w:t>
      </w:r>
    </w:p>
    <w:p>
      <w:pPr>
        <w:spacing w:after="0" w:line="176" w:lineRule="auto"/>
        <w:ind w:left="300"/>
        <w:tabs>
          <w:tab w:val="right" w:leader="dot" w:pos="9072"/>
        </w:tabs>
      </w:pPr>
      <w:hyperlink w:anchor="toc_sec_019">
        <w:r>
          <w:rPr>
            <w:rFonts w:ascii="Times New Roman" w:hAnsi="Times New Roman" w:cs="Times New Roman"/>
            <w:sz w:val="17"/>
            <w:color w:val="0563C1"/>
            <w:u w:val="single"/>
          </w:rPr>
          <w:t>2.3. Демонтаж первичных и вторичных преобразователей</w:t>
        </w:r>
      </w:hyperlink>
      <w:r>
        <w:tab/>
      </w:r>
      <w:r>
        <w:rPr>
          <w:rFonts w:ascii="Times New Roman" w:hAnsi="Times New Roman" w:cs="Times New Roman"/>
          <w:sz w:val="17"/>
        </w:rPr>
        <w:t>12</w:t>
      </w:r>
    </w:p>
    <w:p>
      <w:pPr>
        <w:spacing w:after="0" w:line="176" w:lineRule="auto"/>
        <w:ind w:left="300"/>
        <w:tabs>
          <w:tab w:val="right" w:leader="dot" w:pos="9072"/>
        </w:tabs>
      </w:pPr>
      <w:hyperlink w:anchor="toc_sec_020">
        <w:r>
          <w:rPr>
            <w:rFonts w:ascii="Times New Roman" w:hAnsi="Times New Roman" w:cs="Times New Roman"/>
            <w:sz w:val="17"/>
            <w:color w:val="0563C1"/>
            <w:u w:val="single"/>
          </w:rPr>
          <w:t>2.4. Очистка перед испытаниями</w:t>
        </w:r>
      </w:hyperlink>
      <w:r>
        <w:tab/>
      </w:r>
      <w:r>
        <w:rPr>
          <w:rFonts w:ascii="Times New Roman" w:hAnsi="Times New Roman" w:cs="Times New Roman"/>
          <w:sz w:val="17"/>
        </w:rPr>
        <w:t>14</w:t>
      </w:r>
    </w:p>
    <w:p>
      <w:pPr>
        <w:spacing w:after="0" w:line="176" w:lineRule="auto"/>
        <w:ind w:left="300"/>
        <w:tabs>
          <w:tab w:val="right" w:leader="dot" w:pos="9072"/>
        </w:tabs>
      </w:pPr>
      <w:hyperlink w:anchor="toc_sec_021">
        <w:r>
          <w:rPr>
            <w:rFonts w:ascii="Times New Roman" w:hAnsi="Times New Roman" w:cs="Times New Roman"/>
            <w:sz w:val="17"/>
            <w:color w:val="0563C1"/>
            <w:u w:val="single"/>
          </w:rPr>
          <w:t>2.5. Перемещение внутри участка и хранение</w:t>
        </w:r>
      </w:hyperlink>
      <w:r>
        <w:tab/>
      </w:r>
      <w:r>
        <w:rPr>
          <w:rFonts w:ascii="Times New Roman" w:hAnsi="Times New Roman" w:cs="Times New Roman"/>
          <w:sz w:val="17"/>
        </w:rPr>
        <w:t>14</w:t>
      </w:r>
    </w:p>
    <w:p>
      <w:pPr>
        <w:spacing w:after="0" w:line="176" w:lineRule="auto"/>
        <w:ind w:left="300"/>
        <w:tabs>
          <w:tab w:val="right" w:leader="dot" w:pos="9072"/>
        </w:tabs>
      </w:pPr>
      <w:hyperlink w:anchor="toc_sec_022">
        <w:r>
          <w:rPr>
            <w:rFonts w:ascii="Times New Roman" w:hAnsi="Times New Roman" w:cs="Times New Roman"/>
            <w:sz w:val="17"/>
            <w:color w:val="0563C1"/>
            <w:u w:val="single"/>
          </w:rPr>
          <w:t>2.6. Монтаж на стенде и возврат на место установки</w:t>
        </w:r>
      </w:hyperlink>
      <w:r>
        <w:tab/>
      </w:r>
      <w:r>
        <w:rPr>
          <w:rFonts w:ascii="Times New Roman" w:hAnsi="Times New Roman" w:cs="Times New Roman"/>
          <w:sz w:val="17"/>
        </w:rPr>
        <w:t>15</w:t>
      </w:r>
    </w:p>
    <w:p>
      <w:pPr>
        <w:spacing w:after="0" w:line="176" w:lineRule="auto"/>
        <w:tabs>
          <w:tab w:val="right" w:leader="dot" w:pos="9072"/>
        </w:tabs>
      </w:pPr>
      <w:hyperlink w:anchor="toc_sec_026">
        <w:r>
          <w:rPr>
            <w:rFonts w:ascii="Times New Roman" w:hAnsi="Times New Roman" w:cs="Times New Roman"/>
            <w:sz w:val="18"/>
            <w:color w:val="0563C1"/>
            <w:u w:val="single"/>
            <w:b/>
          </w:rPr>
          <w:t>Занятие 3. Испытательная схема и средства контроля</w:t>
        </w:r>
      </w:hyperlink>
      <w:r>
        <w:tab/>
      </w:r>
      <w:r>
        <w:rPr>
          <w:rFonts w:ascii="Times New Roman" w:hAnsi="Times New Roman" w:cs="Times New Roman"/>
          <w:sz w:val="18"/>
          <w:b/>
        </w:rPr>
        <w:t>17</w:t>
      </w:r>
    </w:p>
    <w:p>
      <w:pPr>
        <w:spacing w:after="0" w:line="176" w:lineRule="auto"/>
        <w:ind w:left="300"/>
        <w:tabs>
          <w:tab w:val="right" w:leader="dot" w:pos="9072"/>
        </w:tabs>
      </w:pPr>
      <w:hyperlink w:anchor="toc_sec_027">
        <w:r>
          <w:rPr>
            <w:rFonts w:ascii="Times New Roman" w:hAnsi="Times New Roman" w:cs="Times New Roman"/>
            <w:sz w:val="17"/>
            <w:color w:val="0563C1"/>
            <w:u w:val="single"/>
          </w:rPr>
          <w:t>3.1. Испытательная схема как система</w:t>
        </w:r>
      </w:hyperlink>
      <w:r>
        <w:tab/>
      </w:r>
      <w:r>
        <w:rPr>
          <w:rFonts w:ascii="Times New Roman" w:hAnsi="Times New Roman" w:cs="Times New Roman"/>
          <w:sz w:val="17"/>
        </w:rPr>
        <w:t>17</w:t>
      </w:r>
    </w:p>
    <w:p>
      <w:pPr>
        <w:spacing w:after="0" w:line="176" w:lineRule="auto"/>
        <w:ind w:left="300"/>
        <w:tabs>
          <w:tab w:val="right" w:leader="dot" w:pos="9072"/>
        </w:tabs>
      </w:pPr>
      <w:hyperlink w:anchor="toc_sec_028">
        <w:r>
          <w:rPr>
            <w:rFonts w:ascii="Times New Roman" w:hAnsi="Times New Roman" w:cs="Times New Roman"/>
            <w:sz w:val="17"/>
            <w:color w:val="0563C1"/>
            <w:u w:val="single"/>
          </w:rPr>
          <w:t>3.2. Выбор средства контроля</w:t>
        </w:r>
      </w:hyperlink>
      <w:r>
        <w:tab/>
      </w:r>
      <w:r>
        <w:rPr>
          <w:rFonts w:ascii="Times New Roman" w:hAnsi="Times New Roman" w:cs="Times New Roman"/>
          <w:sz w:val="17"/>
        </w:rPr>
        <w:t>18</w:t>
      </w:r>
    </w:p>
    <w:p>
      <w:pPr>
        <w:spacing w:after="0" w:line="176" w:lineRule="auto"/>
        <w:ind w:left="300"/>
        <w:tabs>
          <w:tab w:val="right" w:leader="dot" w:pos="9072"/>
        </w:tabs>
      </w:pPr>
      <w:hyperlink w:anchor="toc_sec_029">
        <w:r>
          <w:rPr>
            <w:rFonts w:ascii="Times New Roman" w:hAnsi="Times New Roman" w:cs="Times New Roman"/>
            <w:sz w:val="17"/>
            <w:color w:val="0563C1"/>
            <w:u w:val="single"/>
          </w:rPr>
          <w:t>3.3. Работа с мультиметром</w:t>
        </w:r>
      </w:hyperlink>
      <w:r>
        <w:tab/>
      </w:r>
      <w:r>
        <w:rPr>
          <w:rFonts w:ascii="Times New Roman" w:hAnsi="Times New Roman" w:cs="Times New Roman"/>
          <w:sz w:val="17"/>
        </w:rPr>
        <w:t>18</w:t>
      </w:r>
    </w:p>
    <w:p>
      <w:pPr>
        <w:spacing w:after="0" w:line="176" w:lineRule="auto"/>
        <w:ind w:left="300"/>
        <w:tabs>
          <w:tab w:val="right" w:leader="dot" w:pos="9072"/>
        </w:tabs>
      </w:pPr>
      <w:hyperlink w:anchor="toc_sec_030">
        <w:r>
          <w:rPr>
            <w:rFonts w:ascii="Times New Roman" w:hAnsi="Times New Roman" w:cs="Times New Roman"/>
            <w:sz w:val="17"/>
            <w:color w:val="0563C1"/>
            <w:u w:val="single"/>
          </w:rPr>
          <w:t>3.4. Магазин сопротивления и его учебное значение</w:t>
        </w:r>
      </w:hyperlink>
      <w:r>
        <w:tab/>
      </w:r>
      <w:r>
        <w:rPr>
          <w:rFonts w:ascii="Times New Roman" w:hAnsi="Times New Roman" w:cs="Times New Roman"/>
          <w:sz w:val="17"/>
        </w:rPr>
        <w:t>19</w:t>
      </w:r>
    </w:p>
    <w:p>
      <w:pPr>
        <w:spacing w:after="0" w:line="176" w:lineRule="auto"/>
        <w:ind w:left="300"/>
        <w:tabs>
          <w:tab w:val="right" w:leader="dot" w:pos="9072"/>
        </w:tabs>
      </w:pPr>
      <w:hyperlink w:anchor="toc_sec_031">
        <w:r>
          <w:rPr>
            <w:rFonts w:ascii="Times New Roman" w:hAnsi="Times New Roman" w:cs="Times New Roman"/>
            <w:sz w:val="17"/>
            <w:color w:val="0563C1"/>
            <w:u w:val="single"/>
          </w:rPr>
          <w:t>3.5. Калибратор сигналов и варианты его применения</w:t>
        </w:r>
      </w:hyperlink>
      <w:r>
        <w:tab/>
      </w:r>
      <w:r>
        <w:rPr>
          <w:rFonts w:ascii="Times New Roman" w:hAnsi="Times New Roman" w:cs="Times New Roman"/>
          <w:sz w:val="17"/>
        </w:rPr>
        <w:t>20</w:t>
      </w:r>
    </w:p>
    <w:p>
      <w:pPr>
        <w:spacing w:after="0" w:line="176" w:lineRule="auto"/>
        <w:ind w:left="300"/>
        <w:tabs>
          <w:tab w:val="right" w:leader="dot" w:pos="9072"/>
        </w:tabs>
      </w:pPr>
      <w:hyperlink w:anchor="toc_sec_032">
        <w:r>
          <w:rPr>
            <w:rFonts w:ascii="Times New Roman" w:hAnsi="Times New Roman" w:cs="Times New Roman"/>
            <w:sz w:val="17"/>
            <w:color w:val="0563C1"/>
            <w:u w:val="single"/>
          </w:rPr>
          <w:t>3.6. Учебный пример петли 4–20 мА</w:t>
        </w:r>
      </w:hyperlink>
      <w:r>
        <w:tab/>
      </w:r>
      <w:r>
        <w:rPr>
          <w:rFonts w:ascii="Times New Roman" w:hAnsi="Times New Roman" w:cs="Times New Roman"/>
          <w:sz w:val="17"/>
        </w:rPr>
        <w:t>20</w:t>
      </w:r>
    </w:p>
    <w:p>
      <w:pPr>
        <w:spacing w:after="0" w:line="176" w:lineRule="auto"/>
        <w:ind w:left="300"/>
        <w:tabs>
          <w:tab w:val="right" w:leader="dot" w:pos="9072"/>
        </w:tabs>
      </w:pPr>
      <w:hyperlink w:anchor="toc_sec_033">
        <w:r>
          <w:rPr>
            <w:rFonts w:ascii="Times New Roman" w:hAnsi="Times New Roman" w:cs="Times New Roman"/>
            <w:sz w:val="17"/>
            <w:color w:val="0563C1"/>
            <w:u w:val="single"/>
          </w:rPr>
          <w:t>3.7. Проверка схемы до включения</w:t>
        </w:r>
      </w:hyperlink>
      <w:r>
        <w:tab/>
      </w:r>
      <w:r>
        <w:rPr>
          <w:rFonts w:ascii="Times New Roman" w:hAnsi="Times New Roman" w:cs="Times New Roman"/>
          <w:sz w:val="17"/>
        </w:rPr>
        <w:t>21</w:t>
      </w:r>
    </w:p>
    <w:p>
      <w:pPr>
        <w:spacing w:after="0" w:line="176" w:lineRule="auto"/>
        <w:tabs>
          <w:tab w:val="right" w:leader="dot" w:pos="9072"/>
        </w:tabs>
      </w:pPr>
      <w:hyperlink w:anchor="toc_sec_037">
        <w:r>
          <w:rPr>
            <w:rFonts w:ascii="Times New Roman" w:hAnsi="Times New Roman" w:cs="Times New Roman"/>
            <w:sz w:val="18"/>
            <w:color w:val="0563C1"/>
            <w:u w:val="single"/>
            <w:b/>
          </w:rPr>
          <w:t>Занятие 4. Проведение испытаний и оценка результатов</w:t>
        </w:r>
      </w:hyperlink>
      <w:r>
        <w:tab/>
      </w:r>
      <w:r>
        <w:rPr>
          <w:rFonts w:ascii="Times New Roman" w:hAnsi="Times New Roman" w:cs="Times New Roman"/>
          <w:sz w:val="18"/>
          <w:b/>
        </w:rPr>
        <w:t>23</w:t>
      </w:r>
    </w:p>
    <w:p>
      <w:pPr>
        <w:spacing w:after="0" w:line="176" w:lineRule="auto"/>
        <w:ind w:left="300"/>
        <w:tabs>
          <w:tab w:val="right" w:leader="dot" w:pos="9072"/>
        </w:tabs>
      </w:pPr>
      <w:hyperlink w:anchor="toc_sec_038">
        <w:r>
          <w:rPr>
            <w:rFonts w:ascii="Times New Roman" w:hAnsi="Times New Roman" w:cs="Times New Roman"/>
            <w:sz w:val="17"/>
            <w:color w:val="0563C1"/>
            <w:u w:val="single"/>
          </w:rPr>
          <w:t>4.1. Программа испытаний и её значение</w:t>
        </w:r>
      </w:hyperlink>
      <w:r>
        <w:tab/>
      </w:r>
      <w:r>
        <w:rPr>
          <w:rFonts w:ascii="Times New Roman" w:hAnsi="Times New Roman" w:cs="Times New Roman"/>
          <w:sz w:val="17"/>
        </w:rPr>
        <w:t>23</w:t>
      </w:r>
    </w:p>
    <w:p>
      <w:pPr>
        <w:spacing w:after="0" w:line="176" w:lineRule="auto"/>
        <w:ind w:left="300"/>
        <w:tabs>
          <w:tab w:val="right" w:leader="dot" w:pos="9072"/>
        </w:tabs>
      </w:pPr>
      <w:hyperlink w:anchor="toc_sec_039">
        <w:r>
          <w:rPr>
            <w:rFonts w:ascii="Times New Roman" w:hAnsi="Times New Roman" w:cs="Times New Roman"/>
            <w:sz w:val="17"/>
            <w:color w:val="0563C1"/>
            <w:u w:val="single"/>
          </w:rPr>
          <w:t>4.2. Последовательность выполнения испытаний</w:t>
        </w:r>
      </w:hyperlink>
      <w:r>
        <w:tab/>
      </w:r>
      <w:r>
        <w:rPr>
          <w:rFonts w:ascii="Times New Roman" w:hAnsi="Times New Roman" w:cs="Times New Roman"/>
          <w:sz w:val="17"/>
        </w:rPr>
        <w:t>23</w:t>
      </w:r>
    </w:p>
    <w:p>
      <w:pPr>
        <w:spacing w:after="0" w:line="176" w:lineRule="auto"/>
        <w:ind w:left="300"/>
        <w:tabs>
          <w:tab w:val="right" w:leader="dot" w:pos="9072"/>
        </w:tabs>
      </w:pPr>
      <w:hyperlink w:anchor="toc_sec_040">
        <w:r>
          <w:rPr>
            <w:rFonts w:ascii="Times New Roman" w:hAnsi="Times New Roman" w:cs="Times New Roman"/>
            <w:sz w:val="17"/>
            <w:color w:val="0563C1"/>
            <w:u w:val="single"/>
          </w:rPr>
          <w:t>4.3. Условия испытаний и прогрев</w:t>
        </w:r>
      </w:hyperlink>
      <w:r>
        <w:tab/>
      </w:r>
      <w:r>
        <w:rPr>
          <w:rFonts w:ascii="Times New Roman" w:hAnsi="Times New Roman" w:cs="Times New Roman"/>
          <w:sz w:val="17"/>
        </w:rPr>
        <w:t>23</w:t>
      </w:r>
    </w:p>
    <w:p>
      <w:pPr>
        <w:spacing w:after="0" w:line="176" w:lineRule="auto"/>
        <w:ind w:left="300"/>
        <w:tabs>
          <w:tab w:val="right" w:leader="dot" w:pos="9072"/>
        </w:tabs>
      </w:pPr>
      <w:hyperlink w:anchor="toc_sec_041">
        <w:r>
          <w:rPr>
            <w:rFonts w:ascii="Times New Roman" w:hAnsi="Times New Roman" w:cs="Times New Roman"/>
            <w:sz w:val="17"/>
            <w:color w:val="0563C1"/>
            <w:u w:val="single"/>
          </w:rPr>
          <w:t>4.4. Снятие первичных данных до регулировки</w:t>
        </w:r>
      </w:hyperlink>
      <w:r>
        <w:tab/>
      </w:r>
      <w:r>
        <w:rPr>
          <w:rFonts w:ascii="Times New Roman" w:hAnsi="Times New Roman" w:cs="Times New Roman"/>
          <w:sz w:val="17"/>
        </w:rPr>
        <w:t>24</w:t>
      </w:r>
    </w:p>
    <w:p>
      <w:pPr>
        <w:spacing w:after="0" w:line="176" w:lineRule="auto"/>
        <w:ind w:left="300"/>
        <w:tabs>
          <w:tab w:val="right" w:leader="dot" w:pos="9072"/>
        </w:tabs>
      </w:pPr>
      <w:hyperlink w:anchor="toc_sec_042">
        <w:r>
          <w:rPr>
            <w:rFonts w:ascii="Times New Roman" w:hAnsi="Times New Roman" w:cs="Times New Roman"/>
            <w:sz w:val="17"/>
            <w:color w:val="0563C1"/>
            <w:u w:val="single"/>
          </w:rPr>
          <w:t>4.5. Оценка статической характеристики и отклонений</w:t>
        </w:r>
      </w:hyperlink>
      <w:r>
        <w:tab/>
      </w:r>
      <w:r>
        <w:rPr>
          <w:rFonts w:ascii="Times New Roman" w:hAnsi="Times New Roman" w:cs="Times New Roman"/>
          <w:sz w:val="17"/>
        </w:rPr>
        <w:t>24</w:t>
      </w:r>
    </w:p>
    <w:p>
      <w:pPr>
        <w:spacing w:after="0" w:line="176" w:lineRule="auto"/>
        <w:ind w:left="300"/>
        <w:tabs>
          <w:tab w:val="right" w:leader="dot" w:pos="9072"/>
        </w:tabs>
      </w:pPr>
      <w:hyperlink w:anchor="toc_sec_043">
        <w:r>
          <w:rPr>
            <w:rFonts w:ascii="Times New Roman" w:hAnsi="Times New Roman" w:cs="Times New Roman"/>
            <w:sz w:val="17"/>
            <w:color w:val="0563C1"/>
            <w:u w:val="single"/>
          </w:rPr>
          <w:t>4.6. Функциональные, защитные и электрические проверки</w:t>
        </w:r>
      </w:hyperlink>
      <w:r>
        <w:tab/>
      </w:r>
      <w:r>
        <w:rPr>
          <w:rFonts w:ascii="Times New Roman" w:hAnsi="Times New Roman" w:cs="Times New Roman"/>
          <w:sz w:val="17"/>
        </w:rPr>
        <w:t>25</w:t>
      </w:r>
    </w:p>
    <w:p>
      <w:pPr>
        <w:spacing w:after="0" w:line="176" w:lineRule="auto"/>
        <w:ind w:left="300"/>
        <w:tabs>
          <w:tab w:val="right" w:leader="dot" w:pos="9072"/>
        </w:tabs>
      </w:pPr>
      <w:hyperlink w:anchor="toc_sec_044">
        <w:r>
          <w:rPr>
            <w:rFonts w:ascii="Times New Roman" w:hAnsi="Times New Roman" w:cs="Times New Roman"/>
            <w:sz w:val="17"/>
            <w:color w:val="0563C1"/>
            <w:u w:val="single"/>
          </w:rPr>
          <w:t>4.7. Несоответствия, повторные измерения и техническое заключение</w:t>
        </w:r>
      </w:hyperlink>
      <w:r>
        <w:tab/>
      </w:r>
      <w:r>
        <w:rPr>
          <w:rFonts w:ascii="Times New Roman" w:hAnsi="Times New Roman" w:cs="Times New Roman"/>
          <w:sz w:val="17"/>
        </w:rPr>
        <w:t>25</w:t>
      </w:r>
    </w:p>
    <w:p>
      <w:pPr>
        <w:spacing w:after="0" w:line="176" w:lineRule="auto"/>
        <w:tabs>
          <w:tab w:val="right" w:leader="dot" w:pos="9072"/>
        </w:tabs>
      </w:pPr>
      <w:hyperlink w:anchor="toc_sec_048">
        <w:r>
          <w:rPr>
            <w:rFonts w:ascii="Times New Roman" w:hAnsi="Times New Roman" w:cs="Times New Roman"/>
            <w:sz w:val="18"/>
            <w:color w:val="0563C1"/>
            <w:u w:val="single"/>
            <w:b/>
          </w:rPr>
          <w:t>Занятие 5. Сдача прибора и ввод в эксплуатацию</w:t>
        </w:r>
      </w:hyperlink>
      <w:r>
        <w:tab/>
      </w:r>
      <w:r>
        <w:rPr>
          <w:rFonts w:ascii="Times New Roman" w:hAnsi="Times New Roman" w:cs="Times New Roman"/>
          <w:sz w:val="18"/>
          <w:b/>
        </w:rPr>
        <w:t>28</w:t>
      </w:r>
    </w:p>
    <w:p>
      <w:pPr>
        <w:spacing w:after="0" w:line="176" w:lineRule="auto"/>
        <w:ind w:left="300"/>
        <w:tabs>
          <w:tab w:val="right" w:leader="dot" w:pos="9072"/>
        </w:tabs>
      </w:pPr>
      <w:hyperlink w:anchor="toc_sec_049">
        <w:r>
          <w:rPr>
            <w:rFonts w:ascii="Times New Roman" w:hAnsi="Times New Roman" w:cs="Times New Roman"/>
            <w:sz w:val="17"/>
            <w:color w:val="0563C1"/>
            <w:u w:val="single"/>
          </w:rPr>
          <w:t>5.1. Что означает сдача прибора</w:t>
        </w:r>
      </w:hyperlink>
      <w:r>
        <w:tab/>
      </w:r>
      <w:r>
        <w:rPr>
          <w:rFonts w:ascii="Times New Roman" w:hAnsi="Times New Roman" w:cs="Times New Roman"/>
          <w:sz w:val="17"/>
        </w:rPr>
        <w:t>28</w:t>
      </w:r>
    </w:p>
    <w:p>
      <w:pPr>
        <w:spacing w:after="0" w:line="176" w:lineRule="auto"/>
        <w:ind w:left="300"/>
        <w:tabs>
          <w:tab w:val="right" w:leader="dot" w:pos="9072"/>
        </w:tabs>
      </w:pPr>
      <w:hyperlink w:anchor="toc_sec_050">
        <w:r>
          <w:rPr>
            <w:rFonts w:ascii="Times New Roman" w:hAnsi="Times New Roman" w:cs="Times New Roman"/>
            <w:sz w:val="17"/>
            <w:color w:val="0563C1"/>
            <w:u w:val="single"/>
          </w:rPr>
          <w:t>5.2. Комплект документов передачи</w:t>
        </w:r>
      </w:hyperlink>
      <w:r>
        <w:tab/>
      </w:r>
      <w:r>
        <w:rPr>
          <w:rFonts w:ascii="Times New Roman" w:hAnsi="Times New Roman" w:cs="Times New Roman"/>
          <w:sz w:val="17"/>
        </w:rPr>
        <w:t>28</w:t>
      </w:r>
    </w:p>
    <w:p>
      <w:pPr>
        <w:spacing w:after="0" w:line="176" w:lineRule="auto"/>
        <w:ind w:left="300"/>
        <w:tabs>
          <w:tab w:val="right" w:leader="dot" w:pos="9072"/>
        </w:tabs>
      </w:pPr>
      <w:hyperlink w:anchor="toc_sec_051">
        <w:r>
          <w:rPr>
            <w:rFonts w:ascii="Times New Roman" w:hAnsi="Times New Roman" w:cs="Times New Roman"/>
            <w:sz w:val="17"/>
            <w:color w:val="0563C1"/>
            <w:u w:val="single"/>
          </w:rPr>
          <w:t>5.3. Правила заполнения паспорта</w:t>
        </w:r>
      </w:hyperlink>
      <w:r>
        <w:tab/>
      </w:r>
      <w:r>
        <w:rPr>
          <w:rFonts w:ascii="Times New Roman" w:hAnsi="Times New Roman" w:cs="Times New Roman"/>
          <w:sz w:val="17"/>
        </w:rPr>
        <w:t>29</w:t>
      </w:r>
    </w:p>
    <w:p>
      <w:pPr>
        <w:spacing w:after="0" w:line="176" w:lineRule="auto"/>
        <w:ind w:left="300"/>
        <w:tabs>
          <w:tab w:val="right" w:leader="dot" w:pos="9072"/>
        </w:tabs>
      </w:pPr>
      <w:hyperlink w:anchor="toc_sec_052">
        <w:r>
          <w:rPr>
            <w:rFonts w:ascii="Times New Roman" w:hAnsi="Times New Roman" w:cs="Times New Roman"/>
            <w:sz w:val="17"/>
            <w:color w:val="0563C1"/>
            <w:u w:val="single"/>
          </w:rPr>
          <w:t>5.4. Акт сдачи-приёмки и решение принимающей стороны</w:t>
        </w:r>
      </w:hyperlink>
      <w:r>
        <w:tab/>
      </w:r>
      <w:r>
        <w:rPr>
          <w:rFonts w:ascii="Times New Roman" w:hAnsi="Times New Roman" w:cs="Times New Roman"/>
          <w:sz w:val="17"/>
        </w:rPr>
        <w:t>30</w:t>
      </w:r>
    </w:p>
    <w:p>
      <w:pPr>
        <w:spacing w:after="0" w:line="176" w:lineRule="auto"/>
        <w:ind w:left="300"/>
        <w:tabs>
          <w:tab w:val="right" w:leader="dot" w:pos="9072"/>
        </w:tabs>
      </w:pPr>
      <w:hyperlink w:anchor="toc_sec_053">
        <w:r>
          <w:rPr>
            <w:rFonts w:ascii="Times New Roman" w:hAnsi="Times New Roman" w:cs="Times New Roman"/>
            <w:sz w:val="17"/>
            <w:color w:val="0563C1"/>
            <w:u w:val="single"/>
          </w:rPr>
          <w:t>5.5. Проверка после установки и решение о вводе</w:t>
        </w:r>
      </w:hyperlink>
      <w:r>
        <w:tab/>
      </w:r>
      <w:r>
        <w:rPr>
          <w:rFonts w:ascii="Times New Roman" w:hAnsi="Times New Roman" w:cs="Times New Roman"/>
          <w:sz w:val="17"/>
        </w:rPr>
        <w:t>30</w:t>
      </w:r>
    </w:p>
    <w:p>
      <w:pPr>
        <w:spacing w:after="0" w:line="176" w:lineRule="auto"/>
        <w:ind w:left="300"/>
        <w:tabs>
          <w:tab w:val="right" w:leader="dot" w:pos="9072"/>
        </w:tabs>
      </w:pPr>
      <w:hyperlink w:anchor="toc_sec_054">
        <w:r>
          <w:rPr>
            <w:rFonts w:ascii="Times New Roman" w:hAnsi="Times New Roman" w:cs="Times New Roman"/>
            <w:sz w:val="17"/>
            <w:color w:val="0563C1"/>
            <w:u w:val="single"/>
          </w:rPr>
          <w:t>5.6. Прослеживаемость, архивирование и профессиональная ответственность</w:t>
        </w:r>
      </w:hyperlink>
      <w:r>
        <w:tab/>
      </w:r>
      <w:r>
        <w:rPr>
          <w:rFonts w:ascii="Times New Roman" w:hAnsi="Times New Roman" w:cs="Times New Roman"/>
          <w:sz w:val="17"/>
        </w:rPr>
        <w:t>31</w:t>
      </w:r>
    </w:p>
    <w:p>
      <w:pPr>
        <w:spacing w:after="0" w:line="176" w:lineRule="auto"/>
        <w:tabs>
          <w:tab w:val="right" w:leader="dot" w:pos="9072"/>
        </w:tabs>
      </w:pPr>
      <w:hyperlink w:anchor="toc_sec_058">
        <w:r>
          <w:rPr>
            <w:rFonts w:ascii="Times New Roman" w:hAnsi="Times New Roman" w:cs="Times New Roman"/>
            <w:sz w:val="18"/>
            <w:color w:val="0563C1"/>
            <w:u w:val="single"/>
            <w:b/>
          </w:rPr>
          <w:t>Приложение А. Итоговый алгоритм выполнения работ</w:t>
        </w:r>
      </w:hyperlink>
      <w:r>
        <w:tab/>
      </w:r>
      <w:r>
        <w:rPr>
          <w:rFonts w:ascii="Times New Roman" w:hAnsi="Times New Roman" w:cs="Times New Roman"/>
          <w:sz w:val="18"/>
          <w:b/>
        </w:rPr>
        <w:t>33</w:t>
      </w:r>
    </w:p>
    <w:p>
      <w:pPr>
        <w:spacing w:after="0" w:line="176" w:lineRule="auto"/>
        <w:tabs>
          <w:tab w:val="right" w:leader="dot" w:pos="9072"/>
        </w:tabs>
      </w:pPr>
      <w:hyperlink w:anchor="toc_sec_059">
        <w:r>
          <w:rPr>
            <w:rFonts w:ascii="Times New Roman" w:hAnsi="Times New Roman" w:cs="Times New Roman"/>
            <w:sz w:val="18"/>
            <w:color w:val="0563C1"/>
            <w:u w:val="single"/>
            <w:b/>
          </w:rPr>
          <w:t>Приложение Б. Пример фразы для паспорта</w:t>
        </w:r>
      </w:hyperlink>
      <w:r>
        <w:tab/>
      </w:r>
      <w:r>
        <w:rPr>
          <w:rFonts w:ascii="Times New Roman" w:hAnsi="Times New Roman" w:cs="Times New Roman"/>
          <w:sz w:val="18"/>
          <w:b/>
        </w:rPr>
        <w:t>33</w:t>
      </w:r>
    </w:p>
    <w:p>
      <w:pPr>
        <w:spacing w:after="0" w:line="176" w:lineRule="auto"/>
        <w:tabs>
          <w:tab w:val="right" w:leader="dot" w:pos="9072"/>
        </w:tabs>
      </w:pPr>
      <w:hyperlink w:anchor="toc_sec_060">
        <w:r>
          <w:rPr>
            <w:rFonts w:ascii="Times New Roman" w:hAnsi="Times New Roman" w:cs="Times New Roman"/>
            <w:sz w:val="18"/>
            <w:color w:val="0563C1"/>
            <w:u w:val="single"/>
            <w:b/>
          </w:rPr>
          <w:t>Приложение В. Итоговые задания для самоконтроля</w:t>
        </w:r>
      </w:hyperlink>
      <w:r>
        <w:tab/>
      </w:r>
      <w:r>
        <w:rPr>
          <w:rFonts w:ascii="Times New Roman" w:hAnsi="Times New Roman" w:cs="Times New Roman"/>
          <w:sz w:val="18"/>
          <w:b/>
        </w:rPr>
        <w:t>33</w:t>
      </w:r>
    </w:p>
    <w:p>
      <w:pPr>
        <w:spacing w:after="0" w:line="176" w:lineRule="auto"/>
        <w:tabs>
          <w:tab w:val="right" w:leader="dot" w:pos="9072"/>
        </w:tabs>
      </w:pPr>
      <w:hyperlink w:anchor="toc_sec_061">
        <w:r>
          <w:rPr>
            <w:rFonts w:ascii="Times New Roman" w:hAnsi="Times New Roman" w:cs="Times New Roman"/>
            <w:sz w:val="18"/>
            <w:color w:val="0563C1"/>
            <w:u w:val="single"/>
            <w:b/>
          </w:rPr>
          <w:t>Нормативная и учебная основа</w:t>
        </w:r>
      </w:hyperlink>
      <w:r>
        <w:tab/>
      </w:r>
      <w:r>
        <w:rPr>
          <w:rFonts w:ascii="Times New Roman" w:hAnsi="Times New Roman" w:cs="Times New Roman"/>
          <w:sz w:val="18"/>
          <w:b/>
        </w:rPr>
        <w:t>33</w:t>
      </w:r>
    </w:p>
    <w:p>
      <w:pPr>
        <w:spacing w:after="0" w:line="176" w:lineRule="auto"/>
        <w:tabs>
          <w:tab w:val="right" w:leader="dot" w:pos="9072"/>
        </w:tabs>
      </w:pPr>
      <w:r>
        <w:rPr>
          <w:rFonts w:ascii="Times New Roman" w:hAnsi="Times New Roman" w:cs="Times New Roman"/>
          <w:sz w:val="16"/>
          <w:i/>
        </w:rPr>
        <w:t>Названия разделов в содержании являются активными ссылками.</w:t>
      </w:r>
    </w:p>
    <w:p>
      <w:r>
        <w:br w:type="page"/>
      </w:r>
    </w:p>
    <w:p>
      <w:bookmarkStart w:id="1" w:name="toc_sec_001"/>
      <w:pPr>
        <w:pStyle w:val="Heading1"/>
        <w:spacing w:after="120" w:line="276" w:lineRule="auto"/>
      </w:pPr>
      <w:r>
        <w:rPr>
          <w:rFonts w:ascii="Times New Roman" w:hAnsi="Times New Roman"/>
          <w:b w:val="0"/>
          <w:i w:val="0"/>
          <w:sz w:val="24"/>
        </w:rPr>
        <w:t>Назначение документа</w:t>
      </w:r>
      <w:bookmarkEnd w:id="1"/>
    </w:p>
    <w:p>
      <w:pPr>
        <w:spacing w:after="120" w:line="276" w:lineRule="auto"/>
      </w:pPr>
      <w:r>
        <w:rPr>
          <w:rFonts w:ascii="Times New Roman" w:hAnsi="Times New Roman"/>
          <w:b w:val="0"/>
          <w:i w:val="0"/>
          <w:sz w:val="24"/>
        </w:rPr>
        <w:t>Данный материал подготовлен как полноценная лекционная основа на 10 академических часов. Он предназначен для преподавателя и обучающегося и раскрывает не только последовательность операций, но и смысл действий, типовые ошибки, ограничения полномочий слесаря по КИПиА 6-го разряда, а также требования к прослеживаемости результатов.</w:t>
      </w:r>
    </w:p>
    <w:p>
      <w:pPr>
        <w:spacing w:after="120" w:line="276" w:lineRule="auto"/>
      </w:pPr>
      <w:r>
        <w:rPr>
          <w:rFonts w:ascii="Times New Roman" w:hAnsi="Times New Roman"/>
          <w:b w:val="0"/>
          <w:i w:val="0"/>
          <w:sz w:val="24"/>
        </w:rPr>
        <w:t>В основу структуры положены требования темы 1.4 КУПД: подготовка места проведения работ, безопасные способы вскрытия и демонтажа, применение мультиметров, магазинов сопротивления и калибраторов, порядок испытаний, калибровки, сдачи и заполнения паспортов. При этом текст сознательно расширен, чтобы его можно было использовать как реальный лекционный материал, а не как краткий конспект.</w:t>
      </w:r>
    </w:p>
    <w:p>
      <w:bookmarkStart w:id="2" w:name="toc_sec_002"/>
      <w:pPr>
        <w:pStyle w:val="Heading2"/>
        <w:spacing w:after="120" w:line="276" w:lineRule="auto"/>
      </w:pPr>
      <w:r>
        <w:rPr>
          <w:rFonts w:ascii="Times New Roman" w:hAnsi="Times New Roman"/>
          <w:b w:val="0"/>
          <w:i w:val="0"/>
          <w:sz w:val="24"/>
        </w:rPr>
        <w:t>Как работать с материалом</w:t>
      </w:r>
      <w:bookmarkEnd w:id="2"/>
    </w:p>
    <w:p>
      <w:pPr>
        <w:pStyle w:val="ListBullet"/>
        <w:spacing w:line="276" w:lineRule="auto"/>
      </w:pPr>
      <w:r>
        <w:rPr>
          <w:rFonts w:ascii="Times New Roman" w:hAnsi="Times New Roman"/>
          <w:sz w:val="24"/>
        </w:rPr>
        <w:t>Преподаватель может использовать разделы по занятиям как готовый сценарий пяти двухчасовых занятий.</w:t>
      </w:r>
    </w:p>
    <w:p>
      <w:pPr>
        <w:pStyle w:val="ListBullet"/>
        <w:spacing w:line="276" w:lineRule="auto"/>
      </w:pPr>
      <w:r>
        <w:rPr>
          <w:rFonts w:ascii="Times New Roman" w:hAnsi="Times New Roman"/>
          <w:sz w:val="24"/>
        </w:rPr>
        <w:t>Обучающийся может читать материал последовательно или выборочно по разделам оглавления.</w:t>
      </w:r>
    </w:p>
    <w:p>
      <w:pPr>
        <w:pStyle w:val="ListBullet"/>
        <w:spacing w:line="276" w:lineRule="auto"/>
      </w:pPr>
      <w:r>
        <w:rPr>
          <w:rFonts w:ascii="Times New Roman" w:hAnsi="Times New Roman"/>
          <w:sz w:val="24"/>
        </w:rPr>
        <w:t>Схемы и рисунки можно использовать при объяснении на экране, в раздаточном материале и в качестве опоры при ответе.</w:t>
      </w:r>
    </w:p>
    <w:p>
      <w:pPr>
        <w:pStyle w:val="ListBullet"/>
        <w:spacing w:line="276" w:lineRule="auto"/>
      </w:pPr>
      <w:r>
        <w:rPr>
          <w:rFonts w:ascii="Times New Roman" w:hAnsi="Times New Roman"/>
          <w:sz w:val="24"/>
        </w:rPr>
        <w:t>В конце каждого занятия приведены вопросы для закрепления и практические мини-задания.</w:t>
      </w:r>
    </w:p>
    <w:p>
      <w:bookmarkStart w:id="3" w:name="toc_sec_003"/>
      <w:pPr>
        <w:pStyle w:val="Heading2"/>
        <w:spacing w:after="120" w:line="276" w:lineRule="auto"/>
      </w:pPr>
      <w:r>
        <w:rPr>
          <w:rFonts w:ascii="Times New Roman" w:hAnsi="Times New Roman"/>
          <w:b w:val="0"/>
          <w:i w:val="0"/>
          <w:sz w:val="24"/>
        </w:rPr>
        <w:t>Результаты обучения</w:t>
      </w:r>
      <w:bookmarkEnd w:id="3"/>
    </w:p>
    <w:p>
      <w:pPr>
        <w:pStyle w:val="ListBullet"/>
        <w:spacing w:line="276" w:lineRule="auto"/>
      </w:pPr>
      <w:r>
        <w:rPr>
          <w:rFonts w:ascii="Times New Roman" w:hAnsi="Times New Roman"/>
          <w:sz w:val="24"/>
        </w:rPr>
        <w:t>понимать различие между испытанием, калибровкой, поверкой и технической сдачей;</w:t>
      </w:r>
    </w:p>
    <w:p>
      <w:pPr>
        <w:pStyle w:val="ListBullet"/>
        <w:spacing w:line="276" w:lineRule="auto"/>
      </w:pPr>
      <w:r>
        <w:rPr>
          <w:rFonts w:ascii="Times New Roman" w:hAnsi="Times New Roman"/>
          <w:sz w:val="24"/>
        </w:rPr>
        <w:t>уметь организовать безопасное рабочее место и выявлять стоп-условия;</w:t>
      </w:r>
    </w:p>
    <w:p>
      <w:pPr>
        <w:pStyle w:val="ListBullet"/>
        <w:spacing w:line="276" w:lineRule="auto"/>
      </w:pPr>
      <w:r>
        <w:rPr>
          <w:rFonts w:ascii="Times New Roman" w:hAnsi="Times New Roman"/>
          <w:sz w:val="24"/>
        </w:rPr>
        <w:t>подбирать пригодные средства контроля и собирать испытательную схему;</w:t>
      </w:r>
    </w:p>
    <w:p>
      <w:pPr>
        <w:pStyle w:val="ListBullet"/>
        <w:spacing w:line="276" w:lineRule="auto"/>
      </w:pPr>
      <w:r>
        <w:rPr>
          <w:rFonts w:ascii="Times New Roman" w:hAnsi="Times New Roman"/>
          <w:sz w:val="24"/>
        </w:rPr>
        <w:t>снимать первичные данные, оценивать результаты и оформлять несоответствия;</w:t>
      </w:r>
    </w:p>
    <w:p>
      <w:pPr>
        <w:pStyle w:val="ListBullet"/>
        <w:spacing w:line="276" w:lineRule="auto"/>
      </w:pPr>
      <w:r>
        <w:rPr>
          <w:rFonts w:ascii="Times New Roman" w:hAnsi="Times New Roman"/>
          <w:sz w:val="24"/>
        </w:rPr>
        <w:t>оформлять паспорт, протокол, акт сдачи-приёмки и обеспечивать прослеживаемость результата.</w:t>
      </w:r>
    </w:p>
    <w:p>
      <w:bookmarkStart w:id="4" w:name="toc_sec_004"/>
      <w:pPr>
        <w:pStyle w:val="Heading2"/>
        <w:spacing w:after="120" w:line="276" w:lineRule="auto"/>
      </w:pPr>
      <w:r>
        <w:rPr>
          <w:rFonts w:ascii="Times New Roman" w:hAnsi="Times New Roman"/>
          <w:b w:val="0"/>
          <w:i w:val="0"/>
          <w:sz w:val="24"/>
        </w:rPr>
        <w:t>Структура 10-часового курса</w:t>
      </w:r>
      <w:bookmarkEnd w:id="4"/>
    </w:p>
    <w:tbl>
      <w:tblPr>
        <w:tblStyle w:val="TableGrid"/>
        <w:tblW w:type="auto" w:w="0"/>
        <w:jc w:val="center"/>
        <w:tblLook w:firstColumn="1" w:firstRow="1" w:lastColumn="0" w:lastRow="0" w:noHBand="0" w:noVBand="1" w:val="04A0"/>
      </w:tblPr>
      <w:tblGrid>
        <w:gridCol w:w="2422"/>
        <w:gridCol w:w="2422"/>
        <w:gridCol w:w="2422"/>
        <w:gridCol w:w="2422"/>
      </w:tblGrid>
      <w:tr>
        <w:tc>
          <w:tcPr>
            <w:tcW w:type="dxa" w:w="1134"/>
            <w:vAlign w:val="center"/>
          </w:tcPr>
          <w:p>
            <w:r>
              <w:rPr>
                <w:rFonts w:ascii="Times New Roman" w:hAnsi="Times New Roman"/>
                <w:b/>
                <w:sz w:val="22"/>
              </w:rPr>
              <w:t>Занятие</w:t>
            </w:r>
          </w:p>
        </w:tc>
        <w:tc>
          <w:tcPr>
            <w:tcW w:type="dxa" w:w="1701"/>
            <w:vAlign w:val="center"/>
          </w:tcPr>
          <w:p>
            <w:r>
              <w:rPr>
                <w:rFonts w:ascii="Times New Roman" w:hAnsi="Times New Roman"/>
                <w:b/>
                <w:sz w:val="22"/>
              </w:rPr>
              <w:t>Продолжительность</w:t>
            </w:r>
          </w:p>
        </w:tc>
        <w:tc>
          <w:tcPr>
            <w:tcW w:type="dxa" w:w="4535"/>
            <w:vAlign w:val="center"/>
          </w:tcPr>
          <w:p>
            <w:r>
              <w:rPr>
                <w:rFonts w:ascii="Times New Roman" w:hAnsi="Times New Roman"/>
                <w:b/>
                <w:sz w:val="22"/>
              </w:rPr>
              <w:t>Основное содержание</w:t>
            </w:r>
          </w:p>
        </w:tc>
        <w:tc>
          <w:tcPr>
            <w:tcW w:type="dxa" w:w="2835"/>
            <w:vAlign w:val="center"/>
          </w:tcPr>
          <w:p>
            <w:r>
              <w:rPr>
                <w:rFonts w:ascii="Times New Roman" w:hAnsi="Times New Roman"/>
                <w:b/>
                <w:sz w:val="22"/>
              </w:rPr>
              <w:t>Итог занятия</w:t>
            </w:r>
          </w:p>
        </w:tc>
      </w:tr>
      <w:tr>
        <w:tc>
          <w:tcPr>
            <w:tcW w:type="dxa" w:w="1134"/>
          </w:tcPr>
          <w:p>
            <w:r>
              <w:rPr>
                <w:rFonts w:ascii="Times New Roman" w:hAnsi="Times New Roman"/>
                <w:sz w:val="22"/>
              </w:rPr>
              <w:t>1</w:t>
            </w:r>
          </w:p>
        </w:tc>
        <w:tc>
          <w:tcPr>
            <w:tcW w:type="dxa" w:w="1701"/>
          </w:tcPr>
          <w:p>
            <w:r>
              <w:rPr>
                <w:rFonts w:ascii="Times New Roman" w:hAnsi="Times New Roman"/>
                <w:sz w:val="22"/>
              </w:rPr>
              <w:t>2 акад. ч.</w:t>
            </w:r>
          </w:p>
        </w:tc>
        <w:tc>
          <w:tcPr>
            <w:tcW w:type="dxa" w:w="4535"/>
          </w:tcPr>
          <w:p>
            <w:r>
              <w:rPr>
                <w:rFonts w:ascii="Times New Roman" w:hAnsi="Times New Roman"/>
                <w:sz w:val="22"/>
              </w:rPr>
              <w:t>Подготовка работ, документов и рабочего места</w:t>
            </w:r>
          </w:p>
        </w:tc>
        <w:tc>
          <w:tcPr>
            <w:tcW w:type="dxa" w:w="2835"/>
          </w:tcPr>
          <w:p>
            <w:r>
              <w:rPr>
                <w:rFonts w:ascii="Times New Roman" w:hAnsi="Times New Roman"/>
                <w:sz w:val="22"/>
              </w:rPr>
              <w:t>Обучающийся умеет принимать задание и определять стоп-условия</w:t>
            </w:r>
          </w:p>
        </w:tc>
      </w:tr>
      <w:tr>
        <w:tc>
          <w:tcPr>
            <w:tcW w:type="dxa" w:w="1134"/>
          </w:tcPr>
          <w:p>
            <w:r>
              <w:rPr>
                <w:rFonts w:ascii="Times New Roman" w:hAnsi="Times New Roman"/>
                <w:sz w:val="22"/>
              </w:rPr>
              <w:t>2</w:t>
            </w:r>
          </w:p>
        </w:tc>
        <w:tc>
          <w:tcPr>
            <w:tcW w:type="dxa" w:w="1701"/>
          </w:tcPr>
          <w:p>
            <w:r>
              <w:rPr>
                <w:rFonts w:ascii="Times New Roman" w:hAnsi="Times New Roman"/>
                <w:sz w:val="22"/>
              </w:rPr>
              <w:t>2 акад. ч.</w:t>
            </w:r>
          </w:p>
        </w:tc>
        <w:tc>
          <w:tcPr>
            <w:tcW w:type="dxa" w:w="4535"/>
          </w:tcPr>
          <w:p>
            <w:r>
              <w:rPr>
                <w:rFonts w:ascii="Times New Roman" w:hAnsi="Times New Roman"/>
                <w:sz w:val="22"/>
              </w:rPr>
              <w:t>Вскрытие, демонтаж, очистка, перемещение и монтаж</w:t>
            </w:r>
          </w:p>
        </w:tc>
        <w:tc>
          <w:tcPr>
            <w:tcW w:type="dxa" w:w="2835"/>
          </w:tcPr>
          <w:p>
            <w:r>
              <w:rPr>
                <w:rFonts w:ascii="Times New Roman" w:hAnsi="Times New Roman"/>
                <w:sz w:val="22"/>
              </w:rPr>
              <w:t>Обучающийся понимает безопасную последовательность механических операций</w:t>
            </w:r>
          </w:p>
        </w:tc>
      </w:tr>
      <w:tr>
        <w:tc>
          <w:tcPr>
            <w:tcW w:type="dxa" w:w="1134"/>
          </w:tcPr>
          <w:p>
            <w:r>
              <w:rPr>
                <w:rFonts w:ascii="Times New Roman" w:hAnsi="Times New Roman"/>
                <w:sz w:val="22"/>
              </w:rPr>
              <w:t>3</w:t>
            </w:r>
          </w:p>
        </w:tc>
        <w:tc>
          <w:tcPr>
            <w:tcW w:type="dxa" w:w="1701"/>
          </w:tcPr>
          <w:p>
            <w:r>
              <w:rPr>
                <w:rFonts w:ascii="Times New Roman" w:hAnsi="Times New Roman"/>
                <w:sz w:val="22"/>
              </w:rPr>
              <w:t>2 акад. ч.</w:t>
            </w:r>
          </w:p>
        </w:tc>
        <w:tc>
          <w:tcPr>
            <w:tcW w:type="dxa" w:w="4535"/>
          </w:tcPr>
          <w:p>
            <w:r>
              <w:rPr>
                <w:rFonts w:ascii="Times New Roman" w:hAnsi="Times New Roman"/>
                <w:sz w:val="22"/>
              </w:rPr>
              <w:t>Испытательная схема и средства контроля</w:t>
            </w:r>
          </w:p>
        </w:tc>
        <w:tc>
          <w:tcPr>
            <w:tcW w:type="dxa" w:w="2835"/>
          </w:tcPr>
          <w:p>
            <w:r>
              <w:rPr>
                <w:rFonts w:ascii="Times New Roman" w:hAnsi="Times New Roman"/>
                <w:sz w:val="22"/>
              </w:rPr>
              <w:t>Обучающийся умеет выбирать приборы и проверять схему до включения</w:t>
            </w:r>
          </w:p>
        </w:tc>
      </w:tr>
      <w:tr>
        <w:tc>
          <w:tcPr>
            <w:tcW w:type="dxa" w:w="1134"/>
          </w:tcPr>
          <w:p>
            <w:r>
              <w:rPr>
                <w:rFonts w:ascii="Times New Roman" w:hAnsi="Times New Roman"/>
                <w:sz w:val="22"/>
              </w:rPr>
              <w:t>4</w:t>
            </w:r>
          </w:p>
        </w:tc>
        <w:tc>
          <w:tcPr>
            <w:tcW w:type="dxa" w:w="1701"/>
          </w:tcPr>
          <w:p>
            <w:r>
              <w:rPr>
                <w:rFonts w:ascii="Times New Roman" w:hAnsi="Times New Roman"/>
                <w:sz w:val="22"/>
              </w:rPr>
              <w:t>2 акад. ч.</w:t>
            </w:r>
          </w:p>
        </w:tc>
        <w:tc>
          <w:tcPr>
            <w:tcW w:type="dxa" w:w="4535"/>
          </w:tcPr>
          <w:p>
            <w:r>
              <w:rPr>
                <w:rFonts w:ascii="Times New Roman" w:hAnsi="Times New Roman"/>
                <w:sz w:val="22"/>
              </w:rPr>
              <w:t>Проведение испытаний и оценка результатов</w:t>
            </w:r>
          </w:p>
        </w:tc>
        <w:tc>
          <w:tcPr>
            <w:tcW w:type="dxa" w:w="2835"/>
          </w:tcPr>
          <w:p>
            <w:r>
              <w:rPr>
                <w:rFonts w:ascii="Times New Roman" w:hAnsi="Times New Roman"/>
                <w:sz w:val="22"/>
              </w:rPr>
              <w:t>Обучающийся умеет выполнять проверки и формулировать техническое заключение</w:t>
            </w:r>
          </w:p>
        </w:tc>
      </w:tr>
      <w:tr>
        <w:tc>
          <w:tcPr>
            <w:tcW w:type="dxa" w:w="1134"/>
          </w:tcPr>
          <w:p>
            <w:r>
              <w:rPr>
                <w:rFonts w:ascii="Times New Roman" w:hAnsi="Times New Roman"/>
                <w:sz w:val="22"/>
              </w:rPr>
              <w:t>5</w:t>
            </w:r>
          </w:p>
        </w:tc>
        <w:tc>
          <w:tcPr>
            <w:tcW w:type="dxa" w:w="1701"/>
          </w:tcPr>
          <w:p>
            <w:r>
              <w:rPr>
                <w:rFonts w:ascii="Times New Roman" w:hAnsi="Times New Roman"/>
                <w:sz w:val="22"/>
              </w:rPr>
              <w:t>2 акад. ч.</w:t>
            </w:r>
          </w:p>
        </w:tc>
        <w:tc>
          <w:tcPr>
            <w:tcW w:type="dxa" w:w="4535"/>
          </w:tcPr>
          <w:p>
            <w:r>
              <w:rPr>
                <w:rFonts w:ascii="Times New Roman" w:hAnsi="Times New Roman"/>
                <w:sz w:val="22"/>
              </w:rPr>
              <w:t>Сдача прибора и ввод в эксплуатацию</w:t>
            </w:r>
          </w:p>
        </w:tc>
        <w:tc>
          <w:tcPr>
            <w:tcW w:type="dxa" w:w="2835"/>
          </w:tcPr>
          <w:p>
            <w:r>
              <w:rPr>
                <w:rFonts w:ascii="Times New Roman" w:hAnsi="Times New Roman"/>
                <w:sz w:val="22"/>
              </w:rPr>
              <w:t>Обучающийся умеет оформлять документы и различать статус передачи и ввод</w:t>
            </w:r>
          </w:p>
        </w:tc>
      </w:tr>
    </w:tbl>
    <w:p/>
    <w:p>
      <w:bookmarkStart w:id="5" w:name="toc_sec_005"/>
      <w:pPr>
        <w:pStyle w:val="Heading2"/>
        <w:spacing w:after="120" w:line="276" w:lineRule="auto"/>
      </w:pPr>
      <w:r>
        <w:rPr>
          <w:rFonts w:ascii="Times New Roman" w:hAnsi="Times New Roman"/>
          <w:b w:val="0"/>
          <w:i w:val="0"/>
          <w:sz w:val="24"/>
        </w:rPr>
        <w:t>Ключевые понятия</w:t>
      </w:r>
      <w:bookmarkEnd w:id="5"/>
    </w:p>
    <w:tbl>
      <w:tblPr>
        <w:tblStyle w:val="TableGrid"/>
        <w:tblW w:type="auto" w:w="0"/>
        <w:jc w:val="center"/>
        <w:tblLook w:firstColumn="1" w:firstRow="1" w:lastColumn="0" w:lastRow="0" w:noHBand="0" w:noVBand="1" w:val="04A0"/>
      </w:tblPr>
      <w:tblGrid>
        <w:gridCol w:w="4844"/>
        <w:gridCol w:w="4844"/>
      </w:tblGrid>
      <w:tr>
        <w:tc>
          <w:tcPr>
            <w:tcW w:type="dxa" w:w="2268"/>
            <w:vAlign w:val="center"/>
          </w:tcPr>
          <w:p>
            <w:r>
              <w:rPr>
                <w:rFonts w:ascii="Times New Roman" w:hAnsi="Times New Roman"/>
                <w:b/>
                <w:sz w:val="22"/>
              </w:rPr>
              <w:t>Термин</w:t>
            </w:r>
          </w:p>
        </w:tc>
        <w:tc>
          <w:tcPr>
            <w:tcW w:type="dxa" w:w="7937"/>
            <w:vAlign w:val="center"/>
          </w:tcPr>
          <w:p>
            <w:r>
              <w:rPr>
                <w:rFonts w:ascii="Times New Roman" w:hAnsi="Times New Roman"/>
                <w:b/>
                <w:sz w:val="22"/>
              </w:rPr>
              <w:t>Краткое содержание</w:t>
            </w:r>
          </w:p>
        </w:tc>
      </w:tr>
      <w:tr>
        <w:tc>
          <w:tcPr>
            <w:tcW w:type="dxa" w:w="2268"/>
          </w:tcPr>
          <w:p>
            <w:r>
              <w:rPr>
                <w:rFonts w:ascii="Times New Roman" w:hAnsi="Times New Roman"/>
                <w:sz w:val="22"/>
              </w:rPr>
              <w:t>Испытание</w:t>
            </w:r>
          </w:p>
        </w:tc>
        <w:tc>
          <w:tcPr>
            <w:tcW w:type="dxa" w:w="7937"/>
          </w:tcPr>
          <w:p>
            <w:r>
              <w:rPr>
                <w:rFonts w:ascii="Times New Roman" w:hAnsi="Times New Roman"/>
                <w:sz w:val="22"/>
              </w:rPr>
              <w:t>Проверка свойств прибора по программе и методике, в заданных условиях и по установленным критериям.</w:t>
            </w:r>
          </w:p>
        </w:tc>
      </w:tr>
      <w:tr>
        <w:tc>
          <w:tcPr>
            <w:tcW w:type="dxa" w:w="2268"/>
          </w:tcPr>
          <w:p>
            <w:r>
              <w:rPr>
                <w:rFonts w:ascii="Times New Roman" w:hAnsi="Times New Roman"/>
                <w:sz w:val="22"/>
              </w:rPr>
              <w:t>Калибровка</w:t>
            </w:r>
          </w:p>
        </w:tc>
        <w:tc>
          <w:tcPr>
            <w:tcW w:type="dxa" w:w="7937"/>
          </w:tcPr>
          <w:p>
            <w:r>
              <w:rPr>
                <w:rFonts w:ascii="Times New Roman" w:hAnsi="Times New Roman"/>
                <w:sz w:val="22"/>
              </w:rPr>
              <w:t>Установление соотношения между значением, задаваемым эталоном, и показанием прибора.</w:t>
            </w:r>
          </w:p>
        </w:tc>
      </w:tr>
      <w:tr>
        <w:tc>
          <w:tcPr>
            <w:tcW w:type="dxa" w:w="2268"/>
          </w:tcPr>
          <w:p>
            <w:r>
              <w:rPr>
                <w:rFonts w:ascii="Times New Roman" w:hAnsi="Times New Roman"/>
                <w:sz w:val="22"/>
              </w:rPr>
              <w:t>Поверка</w:t>
            </w:r>
          </w:p>
        </w:tc>
        <w:tc>
          <w:tcPr>
            <w:tcW w:type="dxa" w:w="7937"/>
          </w:tcPr>
          <w:p>
            <w:r>
              <w:rPr>
                <w:rFonts w:ascii="Times New Roman" w:hAnsi="Times New Roman"/>
                <w:sz w:val="22"/>
              </w:rPr>
              <w:t>Официальная метрологическая процедура подтверждения соответствия средства измерений установленным требованиям.</w:t>
            </w:r>
          </w:p>
        </w:tc>
      </w:tr>
      <w:tr>
        <w:tc>
          <w:tcPr>
            <w:tcW w:type="dxa" w:w="2268"/>
          </w:tcPr>
          <w:p>
            <w:r>
              <w:rPr>
                <w:rFonts w:ascii="Times New Roman" w:hAnsi="Times New Roman"/>
                <w:sz w:val="22"/>
              </w:rPr>
              <w:t>Техническая сдача</w:t>
            </w:r>
          </w:p>
        </w:tc>
        <w:tc>
          <w:tcPr>
            <w:tcW w:type="dxa" w:w="7937"/>
          </w:tcPr>
          <w:p>
            <w:r>
              <w:rPr>
                <w:rFonts w:ascii="Times New Roman" w:hAnsi="Times New Roman"/>
                <w:sz w:val="22"/>
              </w:rPr>
              <w:t>Передача результата работ принимающей стороне после выполнения согласованного объёма работ и оформления документов.</w:t>
            </w:r>
          </w:p>
        </w:tc>
      </w:tr>
      <w:tr>
        <w:tc>
          <w:tcPr>
            <w:tcW w:type="dxa" w:w="2268"/>
          </w:tcPr>
          <w:p>
            <w:r>
              <w:rPr>
                <w:rFonts w:ascii="Times New Roman" w:hAnsi="Times New Roman"/>
                <w:sz w:val="22"/>
              </w:rPr>
              <w:t>Стоп-условие</w:t>
            </w:r>
          </w:p>
        </w:tc>
        <w:tc>
          <w:tcPr>
            <w:tcW w:type="dxa" w:w="7937"/>
          </w:tcPr>
          <w:p>
            <w:r>
              <w:rPr>
                <w:rFonts w:ascii="Times New Roman" w:hAnsi="Times New Roman"/>
                <w:sz w:val="22"/>
              </w:rPr>
              <w:t>Обстоятельство, при котором работа не должна быть начата или должна быть прекращена до устранения риска или неопределённости.</w:t>
            </w:r>
          </w:p>
        </w:tc>
      </w:tr>
    </w:tbl>
    <w:p/>
    <w:p>
      <w:r>
        <w:br w:type="page"/>
      </w:r>
    </w:p>
    <w:p>
      <w:pPr>
        <w:keepLines/>
        <w:spacing w:before="160" w:after="40"/>
        <w:jc w:val="center"/>
      </w:pPr>
      <w:r>
        <w:drawing>
          <wp:inline xmlns:a="http://schemas.openxmlformats.org/drawingml/2006/main" xmlns:pic="http://schemas.openxmlformats.org/drawingml/2006/picture">
            <wp:extent cx="5760000" cy="3646080"/>
            <wp:docPr id="1" name="Picture 1"/>
            <wp:cNvGraphicFramePr>
              <a:graphicFrameLocks noChangeAspect="1"/>
            </wp:cNvGraphicFramePr>
            <a:graphic>
              <a:graphicData uri="http://schemas.openxmlformats.org/drawingml/2006/picture">
                <pic:pic>
                  <pic:nvPicPr>
                    <pic:cNvPr id="0" name="figure1_workflow.png"/>
                    <pic:cNvPicPr/>
                  </pic:nvPicPr>
                  <pic:blipFill>
                    <a:blip r:embed="rId14"/>
                    <a:stretch>
                      <a:fillRect/>
                    </a:stretch>
                  </pic:blipFill>
                  <pic:spPr>
                    <a:xfrm>
                      <a:off x="0" y="0"/>
                      <a:ext cx="5760000" cy="3646080"/>
                    </a:xfrm>
                    <a:prstGeom prst="rect"/>
                  </pic:spPr>
                </pic:pic>
              </a:graphicData>
            </a:graphic>
          </wp:inline>
        </w:drawing>
      </w:r>
    </w:p>
    <w:p>
      <w:pPr>
        <w:keepNext w:val="0"/>
        <w:spacing w:after="160"/>
        <w:jc w:val="center"/>
      </w:pPr>
      <w:r>
        <w:rPr>
          <w:rFonts w:ascii="Times New Roman" w:hAnsi="Times New Roman"/>
          <w:i/>
          <w:sz w:val="21"/>
        </w:rPr>
        <w:t>Рисунок 1. Алгоритм работ по теме 1.4.</w:t>
      </w:r>
    </w:p>
    <w:p>
      <w:bookmarkStart w:id="6" w:name="toc_sec_006"/>
      <w:pPr>
        <w:pStyle w:val="Heading1"/>
        <w:spacing w:after="120" w:line="276" w:lineRule="auto"/>
      </w:pPr>
      <w:r>
        <w:rPr>
          <w:rFonts w:ascii="Times New Roman" w:hAnsi="Times New Roman"/>
          <w:b w:val="0"/>
          <w:i w:val="0"/>
          <w:sz w:val="24"/>
        </w:rPr>
        <w:t>Занятие 1. Подготовка работ и рабочего места</w:t>
      </w:r>
      <w:bookmarkEnd w:id="6"/>
    </w:p>
    <w:p>
      <w:pPr>
        <w:spacing w:after="120" w:line="276" w:lineRule="auto"/>
      </w:pPr>
      <w:r>
        <w:rPr>
          <w:rFonts w:ascii="Times New Roman" w:hAnsi="Times New Roman"/>
          <w:b/>
          <w:i w:val="0"/>
          <w:sz w:val="24"/>
        </w:rPr>
        <w:t>Продолжительность: 2 академических часа</w:t>
      </w:r>
    </w:p>
    <w:p>
      <w:pPr>
        <w:spacing w:after="120" w:line="276" w:lineRule="auto"/>
      </w:pPr>
      <w:r>
        <w:rPr>
          <w:rFonts w:ascii="Times New Roman" w:hAnsi="Times New Roman"/>
          <w:b w:val="0"/>
          <w:i w:val="0"/>
          <w:sz w:val="24"/>
        </w:rPr>
        <w:t>Цель и ожидаемый результат: После занятия обучающийся должен уметь принять задание, идентифицировать объект, определить правовой и технический статус работ, подготовить рабочее место и выявить обстоятельства, при которых начало работ недопустимо.</w:t>
      </w:r>
    </w:p>
    <w:p>
      <w:bookmarkStart w:id="7" w:name="toc_sec_007"/>
      <w:pPr>
        <w:pStyle w:val="Heading2"/>
        <w:spacing w:after="120" w:line="276" w:lineRule="auto"/>
      </w:pPr>
      <w:r>
        <w:rPr>
          <w:rFonts w:ascii="Times New Roman" w:hAnsi="Times New Roman"/>
          <w:b w:val="0"/>
          <w:i w:val="0"/>
          <w:sz w:val="24"/>
        </w:rPr>
        <w:t>1.1. Почему работа начинается не с подключения, а с анализа задания</w:t>
      </w:r>
      <w:bookmarkEnd w:id="7"/>
    </w:p>
    <w:p>
      <w:pPr>
        <w:spacing w:after="120" w:line="276" w:lineRule="auto"/>
      </w:pPr>
      <w:r>
        <w:rPr>
          <w:rFonts w:ascii="Times New Roman" w:hAnsi="Times New Roman"/>
          <w:b w:val="0"/>
          <w:i w:val="0"/>
          <w:sz w:val="24"/>
        </w:rPr>
        <w:t>На практике ошибка часто совершается в первые минуты работы: специалист видит прибор, узнаёт знакомые клеммы и начинает действовать по привычке. Для серийного прибора такая поспешность уже опасна, а для уникального, опытного или экспериментального изделия она особенно недопустима. У таких объектов могут отличаться диапазон, конфигурация, внутренняя логика, особые требования по питанию, ограничения по условиям испытаний и даже неоконченный статус конструкторской документации.</w:t>
      </w:r>
    </w:p>
    <w:p>
      <w:pPr>
        <w:spacing w:after="120" w:line="276" w:lineRule="auto"/>
      </w:pPr>
      <w:r>
        <w:rPr>
          <w:rFonts w:ascii="Times New Roman" w:hAnsi="Times New Roman"/>
          <w:b w:val="0"/>
          <w:i w:val="0"/>
          <w:sz w:val="24"/>
        </w:rPr>
        <w:t>Разбор задания позволяет ответить на несколько базовых вопросов: какой объект передан, какая именно операция требуется, по какому документу следует работать, кто принимает результат, где заканчиваются полномочия слесаря и начинаются полномочия метролога, комиссии или ответственного за ввод. Пока эти вопросы не выяснены, никакие технические действия нельзя считать обоснованными.</w:t>
      </w:r>
    </w:p>
    <w:p>
      <w:pPr>
        <w:spacing w:after="120" w:line="276" w:lineRule="auto"/>
      </w:pPr>
      <w:r>
        <w:rPr>
          <w:rFonts w:ascii="Times New Roman" w:hAnsi="Times New Roman"/>
          <w:b w:val="0"/>
          <w:i w:val="0"/>
          <w:sz w:val="24"/>
        </w:rPr>
        <w:t>Если задание сформулировано неясно, его необходимо уточнить до начала работ. Формулировка «посмотреть прибор» неприемлема. Правильная постановка содержит объект, место, цель, критерий результата и ответственных лиц. Например: «Проверить после ремонта преобразователь давления ДИ-ХХ, серийный номер 0147, диапазон 0–1,6 МПа, подтвердить соответствие учебному критерию по выходу 4–20 мА и работоспособность аварийного реле». Такая запись сразу задаёт рамки, оборудование и документацию.</w:t>
      </w:r>
    </w:p>
    <w:p>
      <w:bookmarkStart w:id="8" w:name="toc_sec_008"/>
      <w:pPr>
        <w:pStyle w:val="Heading2"/>
        <w:spacing w:after="120" w:line="276" w:lineRule="auto"/>
      </w:pPr>
      <w:r>
        <w:rPr>
          <w:rFonts w:ascii="Times New Roman" w:hAnsi="Times New Roman"/>
          <w:b w:val="0"/>
          <w:i w:val="0"/>
          <w:sz w:val="24"/>
        </w:rPr>
        <w:t>1.2. Идентификация уникального, опытного и экспериментального прибора</w:t>
      </w:r>
      <w:bookmarkEnd w:id="8"/>
    </w:p>
    <w:p>
      <w:pPr>
        <w:spacing w:after="120" w:line="276" w:lineRule="auto"/>
      </w:pPr>
      <w:r>
        <w:rPr>
          <w:rFonts w:ascii="Times New Roman" w:hAnsi="Times New Roman"/>
          <w:b w:val="0"/>
          <w:i w:val="0"/>
          <w:sz w:val="24"/>
        </w:rPr>
        <w:t>Идентификация — это не формальность и не переписывание заводского номера в журнал. Это подтверждение того, что все дальнейшие действия относятся именно к тому объекту, который передан на испытания или сдачу. Для серийного прибора обычно достаточно маркировочной таблички и паспорта. Для опытного образца этого часто недостаточно: могут использоваться внутренний номер проекта, индекс модификации, номер экземпляра, фотофиксация, перечень модулей и версия программного обеспечения.</w:t>
      </w:r>
    </w:p>
    <w:p>
      <w:pPr>
        <w:spacing w:after="120" w:line="276" w:lineRule="auto"/>
      </w:pPr>
      <w:r>
        <w:rPr>
          <w:rFonts w:ascii="Times New Roman" w:hAnsi="Times New Roman"/>
          <w:b w:val="0"/>
          <w:i w:val="0"/>
          <w:sz w:val="24"/>
        </w:rPr>
        <w:t>Необходимо сверить наименование, тип, модификацию, диапазон, выходной сигнал, питание, исполнение, условия применения, наличие пломб и маркировки, а также фактическую комплектацию. Уникальный прибор может отличаться по расположению клемм, типу разъёмов или конфигурации каналов даже внутри одного семейства изделий. Поэтому фраза «похоже на прошлый образец» не может служить основанием для работы.</w:t>
      </w:r>
    </w:p>
    <w:p>
      <w:pPr>
        <w:spacing w:after="120" w:line="276" w:lineRule="auto"/>
      </w:pPr>
      <w:r>
        <w:rPr>
          <w:rFonts w:ascii="Times New Roman" w:hAnsi="Times New Roman"/>
          <w:b w:val="0"/>
          <w:i w:val="0"/>
          <w:sz w:val="24"/>
        </w:rPr>
        <w:t>Если маркировка нечитаема, паспорт отсутствует или данные расходятся между собой, работа должна быть приостановлена. Любая последующая запись в протоколе опирается на правильную идентификацию. Иначе результаты теряют прослеживаемость: невозможно доказать, какой именно объект испытывался, что именно регулировалось и какой прибор был передан в эксплуатацию.</w:t>
      </w:r>
    </w:p>
    <w:p>
      <w:bookmarkStart w:id="9" w:name="toc_sec_009"/>
      <w:pPr>
        <w:pStyle w:val="Heading2"/>
        <w:spacing w:after="120" w:line="276" w:lineRule="auto"/>
      </w:pPr>
      <w:r>
        <w:rPr>
          <w:rFonts w:ascii="Times New Roman" w:hAnsi="Times New Roman"/>
          <w:b w:val="0"/>
          <w:i w:val="0"/>
          <w:sz w:val="24"/>
        </w:rPr>
        <w:t>1.3. Комплект исходной документации и его проверка</w:t>
      </w:r>
      <w:bookmarkEnd w:id="9"/>
    </w:p>
    <w:p>
      <w:pPr>
        <w:spacing w:after="120" w:line="276" w:lineRule="auto"/>
      </w:pPr>
      <w:r>
        <w:rPr>
          <w:rFonts w:ascii="Times New Roman" w:hAnsi="Times New Roman"/>
          <w:b w:val="0"/>
          <w:i w:val="0"/>
          <w:sz w:val="24"/>
        </w:rPr>
        <w:t>Качественная работа по теме 1.4 всегда опирается на документы. В минимальный комплект входят паспорт или формуляр, руководство по эксплуатации, программа и методика испытаний, методика поверки — если она применима, электрическая и монтажная схема, заявка или дефектная ведомость. Для опытных образцов могут добавляться чертежи, перечень модулей, заводские инструкции, протоколы предыдущих стадий испытаний и временные технические решения.</w:t>
      </w:r>
    </w:p>
    <w:p>
      <w:pPr>
        <w:spacing w:after="120" w:line="276" w:lineRule="auto"/>
      </w:pPr>
      <w:r>
        <w:rPr>
          <w:rFonts w:ascii="Times New Roman" w:hAnsi="Times New Roman"/>
          <w:b w:val="0"/>
          <w:i w:val="0"/>
          <w:sz w:val="24"/>
        </w:rPr>
        <w:t>Проверка документации нужна не ради «наличия папки на столе», а для понимания ограничений. Руководство по эксплуатации указывает условия монтажа, питания, прогрева и обслуживания. Программа испытаний определяет виды проверок, последовательность операций и критерии. Схема нужна, чтобы избежать неверных соединений. Методика поверки показывает, какие операции относятся к официальной метрологической процедуре и кто вправе их выполнять.</w:t>
      </w:r>
    </w:p>
    <w:p>
      <w:pPr>
        <w:spacing w:after="120" w:line="276" w:lineRule="auto"/>
      </w:pPr>
      <w:r>
        <w:rPr>
          <w:rFonts w:ascii="Times New Roman" w:hAnsi="Times New Roman"/>
          <w:b w:val="0"/>
          <w:i w:val="0"/>
          <w:sz w:val="24"/>
        </w:rPr>
        <w:t>Преподавателю полезно отдельно подчеркнуть: самая распространённая ошибка — подменять установленный документ «привычной практикой». Если для конкретного прибора предусмотрен иной порядок прогрева, специальные защитные устройства или отдельная функциональная проверка, то привычка работать «как всегда» создаёт риск скрытого дефекта или недостоверного результата.</w:t>
      </w:r>
    </w:p>
    <w:p>
      <w:pPr>
        <w:keepLines/>
        <w:spacing w:before="160" w:after="40"/>
        <w:jc w:val="center"/>
      </w:pPr>
      <w:r>
        <w:drawing>
          <wp:inline xmlns:a="http://schemas.openxmlformats.org/drawingml/2006/main" xmlns:pic="http://schemas.openxmlformats.org/drawingml/2006/picture">
            <wp:extent cx="5760000" cy="3358080"/>
            <wp:docPr id="2" name="Picture 2"/>
            <wp:cNvGraphicFramePr>
              <a:graphicFrameLocks noChangeAspect="1"/>
            </wp:cNvGraphicFramePr>
            <a:graphic>
              <a:graphicData uri="http://schemas.openxmlformats.org/drawingml/2006/picture">
                <pic:pic>
                  <pic:nvPicPr>
                    <pic:cNvPr id="0" name="figure6_document_hierarchy.png"/>
                    <pic:cNvPicPr/>
                  </pic:nvPicPr>
                  <pic:blipFill>
                    <a:blip r:embed="rId15"/>
                    <a:stretch>
                      <a:fillRect/>
                    </a:stretch>
                  </pic:blipFill>
                  <pic:spPr>
                    <a:xfrm>
                      <a:off x="0" y="0"/>
                      <a:ext cx="5760000" cy="3358080"/>
                    </a:xfrm>
                    <a:prstGeom prst="rect"/>
                  </pic:spPr>
                </pic:pic>
              </a:graphicData>
            </a:graphic>
          </wp:inline>
        </w:drawing>
      </w:r>
    </w:p>
    <w:p>
      <w:pPr>
        <w:keepNext w:val="0"/>
        <w:spacing w:after="160"/>
        <w:jc w:val="center"/>
      </w:pPr>
      <w:r>
        <w:rPr>
          <w:rFonts w:ascii="Times New Roman" w:hAnsi="Times New Roman"/>
          <w:i/>
          <w:sz w:val="21"/>
        </w:rPr>
        <w:t>Рисунок 6. Иерархия документов при выполнении работ.</w:t>
      </w:r>
    </w:p>
    <w:p>
      <w:bookmarkStart w:id="10" w:name="toc_sec_010"/>
      <w:pPr>
        <w:pStyle w:val="Heading2"/>
        <w:spacing w:after="120" w:line="276" w:lineRule="auto"/>
      </w:pPr>
      <w:r>
        <w:rPr>
          <w:rFonts w:ascii="Times New Roman" w:hAnsi="Times New Roman"/>
          <w:b w:val="0"/>
          <w:i w:val="0"/>
          <w:sz w:val="24"/>
        </w:rPr>
        <w:t>1.4. Подготовка зоны работ</w:t>
      </w:r>
      <w:bookmarkEnd w:id="10"/>
    </w:p>
    <w:p>
      <w:pPr>
        <w:spacing w:after="120" w:line="276" w:lineRule="auto"/>
      </w:pPr>
      <w:r>
        <w:rPr>
          <w:rFonts w:ascii="Times New Roman" w:hAnsi="Times New Roman"/>
          <w:b w:val="0"/>
          <w:i w:val="0"/>
          <w:sz w:val="24"/>
        </w:rPr>
        <w:t>Подготовка рабочего места включает не только освобождение стола. Необходимо обеспечить такое состояние зоны, при котором посторонний человек не сможет случайно подать питание, открыть арматуру, изменить положение органов управления или нарушить собранную испытательную схему. Организационные меры так же важны, как и технические: бирки, предупреждающие надписи, блокировка арматуры, согласование вывода из работы.</w:t>
      </w:r>
    </w:p>
    <w:p>
      <w:pPr>
        <w:spacing w:after="120" w:line="276" w:lineRule="auto"/>
      </w:pPr>
      <w:r>
        <w:rPr>
          <w:rFonts w:ascii="Times New Roman" w:hAnsi="Times New Roman"/>
          <w:b w:val="0"/>
          <w:i w:val="0"/>
          <w:sz w:val="24"/>
        </w:rPr>
        <w:t>Для приборов, работающих с давлением, температурой, газом, токсичными средами или электрической энергией, особое значение имеет подтверждение безопасного состояния. Нулевое показание ещё не означает отсутствия давления; снятое питание на клеммах не означает отсутствия опасной энергии во внутренних ёмкостях или внешних цепях. Безопасное состояние подтверждают установленным способом: отключают, блокируют, сбрасывают остаточные воздействия, проверяют отсутствие энергии и фиксируют это в принятой форме.</w:t>
      </w:r>
    </w:p>
    <w:p>
      <w:pPr>
        <w:spacing w:after="120" w:line="276" w:lineRule="auto"/>
      </w:pPr>
      <w:r>
        <w:rPr>
          <w:rFonts w:ascii="Times New Roman" w:hAnsi="Times New Roman"/>
          <w:b w:val="0"/>
          <w:i w:val="0"/>
          <w:sz w:val="24"/>
        </w:rPr>
        <w:t>Зона работ должна быть организована так, чтобы последовательность действий была логичной: место для документации, для инструмента, для снятых деталей, для испытательного оборудования, для временного хранения чувствительных узлов. Беспорядок на рабочем месте увеличивает риск перепутать детали, задеть чувствительный элемент, повредить проводку или потерять прослеживаемость того, что именно было снято с конкретного прибора.</w:t>
      </w:r>
    </w:p>
    <w:p>
      <w:pPr>
        <w:keepLines/>
        <w:spacing w:before="160" w:after="40"/>
        <w:jc w:val="center"/>
      </w:pPr>
      <w:r>
        <w:drawing>
          <wp:inline xmlns:a="http://schemas.openxmlformats.org/drawingml/2006/main" xmlns:pic="http://schemas.openxmlformats.org/drawingml/2006/picture">
            <wp:extent cx="5760000" cy="3265920"/>
            <wp:docPr id="3" name="Picture 3"/>
            <wp:cNvGraphicFramePr>
              <a:graphicFrameLocks noChangeAspect="1"/>
            </wp:cNvGraphicFramePr>
            <a:graphic>
              <a:graphicData uri="http://schemas.openxmlformats.org/drawingml/2006/picture">
                <pic:pic>
                  <pic:nvPicPr>
                    <pic:cNvPr id="0" name="figure5_safe_state.png"/>
                    <pic:cNvPicPr/>
                  </pic:nvPicPr>
                  <pic:blipFill>
                    <a:blip r:embed="rId16"/>
                    <a:stretch>
                      <a:fillRect/>
                    </a:stretch>
                  </pic:blipFill>
                  <pic:spPr>
                    <a:xfrm>
                      <a:off x="0" y="0"/>
                      <a:ext cx="5760000" cy="3265920"/>
                    </a:xfrm>
                    <a:prstGeom prst="rect"/>
                  </pic:spPr>
                </pic:pic>
              </a:graphicData>
            </a:graphic>
          </wp:inline>
        </w:drawing>
      </w:r>
    </w:p>
    <w:p>
      <w:pPr>
        <w:keepNext w:val="0"/>
        <w:spacing w:after="160"/>
        <w:jc w:val="center"/>
      </w:pPr>
      <w:r>
        <w:rPr>
          <w:rFonts w:ascii="Times New Roman" w:hAnsi="Times New Roman"/>
          <w:i/>
          <w:sz w:val="21"/>
        </w:rPr>
        <w:t>Рисунок 5. Перевод прибора в безопасное состояние.</w:t>
      </w:r>
    </w:p>
    <w:p>
      <w:bookmarkStart w:id="11" w:name="toc_sec_011"/>
      <w:pPr>
        <w:pStyle w:val="Heading2"/>
        <w:spacing w:after="120" w:line="276" w:lineRule="auto"/>
      </w:pPr>
      <w:r>
        <w:rPr>
          <w:rFonts w:ascii="Times New Roman" w:hAnsi="Times New Roman"/>
          <w:b w:val="0"/>
          <w:i w:val="0"/>
          <w:sz w:val="24"/>
        </w:rPr>
        <w:t>1.5. Инструмент, средства контроля и средства защиты</w:t>
      </w:r>
      <w:bookmarkEnd w:id="11"/>
    </w:p>
    <w:p>
      <w:pPr>
        <w:spacing w:after="120" w:line="276" w:lineRule="auto"/>
      </w:pPr>
      <w:r>
        <w:rPr>
          <w:rFonts w:ascii="Times New Roman" w:hAnsi="Times New Roman"/>
          <w:b w:val="0"/>
          <w:i w:val="0"/>
          <w:sz w:val="24"/>
        </w:rPr>
        <w:t>Правильный инструмент выбирают по операции, а не по наличию в сумке. Ключ неподходящего размера срывает грани; металлический предмет в клеммной коробке может вызвать замыкание; чрезмерное усилие на штуцере разрушает корпус или чувствительный элемент. До начала работ проверяют исправность рукояток, изоляции, измерительных проводов, приспособлений для фиксации, съёмников и переходников.</w:t>
      </w:r>
    </w:p>
    <w:p>
      <w:pPr>
        <w:spacing w:after="120" w:line="276" w:lineRule="auto"/>
      </w:pPr>
      <w:r>
        <w:rPr>
          <w:rFonts w:ascii="Times New Roman" w:hAnsi="Times New Roman"/>
          <w:b w:val="0"/>
          <w:i w:val="0"/>
          <w:sz w:val="24"/>
        </w:rPr>
        <w:t>Средства контроля — мультиметр, калибратор, магазин сопротивления, образцовый манометр, источник давления, термостат и другие — проверяют по диапазону, точности, состоянию, комплектности и действующему статусу. Наличие прибора на столе ещё не означает его пригодность. Если эталон просрочен, его метрологический статус сомнителен или диапазон не соответствует задаче, работа теряет достоверность.</w:t>
      </w:r>
    </w:p>
    <w:p>
      <w:pPr>
        <w:spacing w:after="120" w:line="276" w:lineRule="auto"/>
      </w:pPr>
      <w:r>
        <w:rPr>
          <w:rFonts w:ascii="Times New Roman" w:hAnsi="Times New Roman"/>
          <w:b w:val="0"/>
          <w:i w:val="0"/>
          <w:sz w:val="24"/>
        </w:rPr>
        <w:t>Средства индивидуальной защиты выбирают по риску: защитные очки, перчатки, спецодежда, диэлектрические средства, защита органов дыхания. Ошибка здесь часто связана с недооценкой «небоевых» операций. Даже снятый со схемы датчик может содержать остатки среды, острые кромки, нагретые части или загрязнение, опасное для кожи и глаз.</w:t>
      </w:r>
    </w:p>
    <w:p>
      <w:bookmarkStart w:id="12" w:name="toc_sec_012"/>
      <w:pPr>
        <w:pStyle w:val="Heading2"/>
        <w:spacing w:after="120" w:line="276" w:lineRule="auto"/>
      </w:pPr>
      <w:r>
        <w:rPr>
          <w:rFonts w:ascii="Times New Roman" w:hAnsi="Times New Roman"/>
          <w:b w:val="0"/>
          <w:i w:val="0"/>
          <w:sz w:val="24"/>
        </w:rPr>
        <w:t>1.6. Оценка рисков и стоп-условия</w:t>
      </w:r>
      <w:bookmarkEnd w:id="12"/>
    </w:p>
    <w:p>
      <w:pPr>
        <w:spacing w:after="120" w:line="276" w:lineRule="auto"/>
      </w:pPr>
      <w:r>
        <w:rPr>
          <w:rFonts w:ascii="Times New Roman" w:hAnsi="Times New Roman"/>
          <w:b w:val="0"/>
          <w:i w:val="0"/>
          <w:sz w:val="24"/>
        </w:rPr>
        <w:t>Профессиональная зрелость слесаря по КИПиА проявляется не только в умении работать, но и в умении вовремя остановиться. Стоп-условие — это не проявление нерешительности, а нормальный профессиональный механизм защиты результата и безопасности. Типовые стоп-условия: неизвестная схема, отсутствие разрешения на вывод прибора из работы, несброшенное давление, запах горелой изоляции, утечка среды, повреждённая изоляция, истёкший статус эталона, расхождение маркировки с документами.</w:t>
      </w:r>
    </w:p>
    <w:p>
      <w:pPr>
        <w:spacing w:after="120" w:line="276" w:lineRule="auto"/>
      </w:pPr>
      <w:r>
        <w:rPr>
          <w:rFonts w:ascii="Times New Roman" w:hAnsi="Times New Roman"/>
          <w:b w:val="0"/>
          <w:i w:val="0"/>
          <w:sz w:val="24"/>
        </w:rPr>
        <w:t>Если стоп-условие обнаружено, работа не продолжается «аккуратно» или «на свой страх и риск». Фиксируют причину, сохраняют безопасное состояние и сообщают ответственному лицу. Нельзя самостоятельно отменять организационный запрет, заменять программу испытаний или проводить несанкционированную разборку в надежде «там всё станет ясно».</w:t>
      </w:r>
    </w:p>
    <w:p>
      <w:pPr>
        <w:spacing w:after="120" w:line="276" w:lineRule="auto"/>
      </w:pPr>
      <w:r>
        <w:rPr>
          <w:rFonts w:ascii="Times New Roman" w:hAnsi="Times New Roman"/>
          <w:b w:val="0"/>
          <w:i w:val="0"/>
          <w:sz w:val="24"/>
        </w:rPr>
        <w:t>Для преподавателя важен акцент: умение отказаться от начала работ в неопределённой ситуации — такое же профессиональное умение, как сборка схемы или снятие характеристики. Это часть культуры безопасной и прослеживаемой работы.</w:t>
      </w:r>
    </w:p>
    <w:p>
      <w:pPr>
        <w:keepLines/>
        <w:spacing w:before="160" w:after="40"/>
        <w:jc w:val="center"/>
      </w:pPr>
      <w:r>
        <w:drawing>
          <wp:inline xmlns:a="http://schemas.openxmlformats.org/drawingml/2006/main" xmlns:pic="http://schemas.openxmlformats.org/drawingml/2006/picture">
            <wp:extent cx="5760000" cy="3646080"/>
            <wp:docPr id="4" name="Picture 4"/>
            <wp:cNvGraphicFramePr>
              <a:graphicFrameLocks noChangeAspect="1"/>
            </wp:cNvGraphicFramePr>
            <a:graphic>
              <a:graphicData uri="http://schemas.openxmlformats.org/drawingml/2006/picture">
                <pic:pic>
                  <pic:nvPicPr>
                    <pic:cNvPr id="0" name="figure11_stop_conditions.png"/>
                    <pic:cNvPicPr/>
                  </pic:nvPicPr>
                  <pic:blipFill>
                    <a:blip r:embed="rId17"/>
                    <a:stretch>
                      <a:fillRect/>
                    </a:stretch>
                  </pic:blipFill>
                  <pic:spPr>
                    <a:xfrm>
                      <a:off x="0" y="0"/>
                      <a:ext cx="5760000" cy="3646080"/>
                    </a:xfrm>
                    <a:prstGeom prst="rect"/>
                  </pic:spPr>
                </pic:pic>
              </a:graphicData>
            </a:graphic>
          </wp:inline>
        </w:drawing>
      </w:r>
    </w:p>
    <w:p>
      <w:pPr>
        <w:keepNext w:val="0"/>
        <w:spacing w:after="160"/>
        <w:jc w:val="center"/>
      </w:pPr>
      <w:r>
        <w:rPr>
          <w:rFonts w:ascii="Times New Roman" w:hAnsi="Times New Roman"/>
          <w:i/>
          <w:sz w:val="21"/>
        </w:rPr>
        <w:t>Рисунок 11. Карта типовых стоп-условий.</w:t>
      </w:r>
    </w:p>
    <w:p>
      <w:bookmarkStart w:id="13" w:name="toc_sec_013"/>
      <w:pPr>
        <w:pStyle w:val="Heading2"/>
        <w:spacing w:after="120" w:line="276" w:lineRule="auto"/>
      </w:pPr>
      <w:r>
        <w:rPr>
          <w:rFonts w:ascii="Times New Roman" w:hAnsi="Times New Roman"/>
          <w:b w:val="0"/>
          <w:i w:val="0"/>
          <w:sz w:val="24"/>
        </w:rPr>
        <w:t>Контрольные вопросы перед началом работ</w:t>
      </w:r>
      <w:bookmarkEnd w:id="13"/>
    </w:p>
    <w:tbl>
      <w:tblPr>
        <w:tblStyle w:val="TableGrid"/>
        <w:tblW w:type="auto" w:w="0"/>
        <w:jc w:val="center"/>
        <w:tblLook w:firstColumn="1" w:firstRow="1" w:lastColumn="0" w:lastRow="0" w:noHBand="0" w:noVBand="1" w:val="04A0"/>
      </w:tblPr>
      <w:tblGrid>
        <w:gridCol w:w="3230"/>
        <w:gridCol w:w="3230"/>
        <w:gridCol w:w="3230"/>
      </w:tblGrid>
      <w:tr>
        <w:tc>
          <w:tcPr>
            <w:tcW w:type="dxa" w:w="2835"/>
            <w:vAlign w:val="center"/>
          </w:tcPr>
          <w:p>
            <w:r>
              <w:rPr>
                <w:rFonts w:ascii="Times New Roman" w:hAnsi="Times New Roman"/>
                <w:b/>
                <w:sz w:val="22"/>
              </w:rPr>
              <w:t>Вопрос</w:t>
            </w:r>
          </w:p>
        </w:tc>
        <w:tc>
          <w:tcPr>
            <w:tcW w:type="dxa" w:w="3402"/>
            <w:vAlign w:val="center"/>
          </w:tcPr>
          <w:p>
            <w:r>
              <w:rPr>
                <w:rFonts w:ascii="Times New Roman" w:hAnsi="Times New Roman"/>
                <w:b/>
                <w:sz w:val="22"/>
              </w:rPr>
              <w:t>Что нужно установить</w:t>
            </w:r>
          </w:p>
        </w:tc>
        <w:tc>
          <w:tcPr>
            <w:tcW w:type="dxa" w:w="3402"/>
            <w:vAlign w:val="center"/>
          </w:tcPr>
          <w:p>
            <w:r>
              <w:rPr>
                <w:rFonts w:ascii="Times New Roman" w:hAnsi="Times New Roman"/>
                <w:b/>
                <w:sz w:val="22"/>
              </w:rPr>
              <w:t>Почему это важно</w:t>
            </w:r>
          </w:p>
        </w:tc>
      </w:tr>
      <w:tr>
        <w:tc>
          <w:tcPr>
            <w:tcW w:type="dxa" w:w="2835"/>
          </w:tcPr>
          <w:p>
            <w:r>
              <w:rPr>
                <w:rFonts w:ascii="Times New Roman" w:hAnsi="Times New Roman"/>
                <w:sz w:val="22"/>
              </w:rPr>
              <w:t>Какой объект передан?</w:t>
            </w:r>
          </w:p>
        </w:tc>
        <w:tc>
          <w:tcPr>
            <w:tcW w:type="dxa" w:w="3402"/>
          </w:tcPr>
          <w:p>
            <w:r>
              <w:rPr>
                <w:rFonts w:ascii="Times New Roman" w:hAnsi="Times New Roman"/>
                <w:sz w:val="22"/>
              </w:rPr>
              <w:t>Тип, номер, исполнение, диапазон, конфигурация</w:t>
            </w:r>
          </w:p>
        </w:tc>
        <w:tc>
          <w:tcPr>
            <w:tcW w:type="dxa" w:w="3402"/>
          </w:tcPr>
          <w:p>
            <w:r>
              <w:rPr>
                <w:rFonts w:ascii="Times New Roman" w:hAnsi="Times New Roman"/>
                <w:sz w:val="22"/>
              </w:rPr>
              <w:t>Исключает работу не с тем прибором</w:t>
            </w:r>
          </w:p>
        </w:tc>
      </w:tr>
      <w:tr>
        <w:tc>
          <w:tcPr>
            <w:tcW w:type="dxa" w:w="2835"/>
          </w:tcPr>
          <w:p>
            <w:r>
              <w:rPr>
                <w:rFonts w:ascii="Times New Roman" w:hAnsi="Times New Roman"/>
                <w:sz w:val="22"/>
              </w:rPr>
              <w:t>Какая операция требуется?</w:t>
            </w:r>
          </w:p>
        </w:tc>
        <w:tc>
          <w:tcPr>
            <w:tcW w:type="dxa" w:w="3402"/>
          </w:tcPr>
          <w:p>
            <w:r>
              <w:rPr>
                <w:rFonts w:ascii="Times New Roman" w:hAnsi="Times New Roman"/>
                <w:sz w:val="22"/>
              </w:rPr>
              <w:t>Испытание, калибровка, подготовка к поверке, сдача</w:t>
            </w:r>
          </w:p>
        </w:tc>
        <w:tc>
          <w:tcPr>
            <w:tcW w:type="dxa" w:w="3402"/>
          </w:tcPr>
          <w:p>
            <w:r>
              <w:rPr>
                <w:rFonts w:ascii="Times New Roman" w:hAnsi="Times New Roman"/>
                <w:sz w:val="22"/>
              </w:rPr>
              <w:t>Определяет документы, оборудование и полномочия</w:t>
            </w:r>
          </w:p>
        </w:tc>
      </w:tr>
      <w:tr>
        <w:tc>
          <w:tcPr>
            <w:tcW w:type="dxa" w:w="2835"/>
          </w:tcPr>
          <w:p>
            <w:r>
              <w:rPr>
                <w:rFonts w:ascii="Times New Roman" w:hAnsi="Times New Roman"/>
                <w:sz w:val="22"/>
              </w:rPr>
              <w:t>По какому документу работать?</w:t>
            </w:r>
          </w:p>
        </w:tc>
        <w:tc>
          <w:tcPr>
            <w:tcW w:type="dxa" w:w="3402"/>
          </w:tcPr>
          <w:p>
            <w:r>
              <w:rPr>
                <w:rFonts w:ascii="Times New Roman" w:hAnsi="Times New Roman"/>
                <w:sz w:val="22"/>
              </w:rPr>
              <w:t>Программа, методика, схема, руководство</w:t>
            </w:r>
          </w:p>
        </w:tc>
        <w:tc>
          <w:tcPr>
            <w:tcW w:type="dxa" w:w="3402"/>
          </w:tcPr>
          <w:p>
            <w:r>
              <w:rPr>
                <w:rFonts w:ascii="Times New Roman" w:hAnsi="Times New Roman"/>
                <w:sz w:val="22"/>
              </w:rPr>
              <w:t>Предотвращает подмену процедуры привычной практикой</w:t>
            </w:r>
          </w:p>
        </w:tc>
      </w:tr>
      <w:tr>
        <w:tc>
          <w:tcPr>
            <w:tcW w:type="dxa" w:w="2835"/>
          </w:tcPr>
          <w:p>
            <w:r>
              <w:rPr>
                <w:rFonts w:ascii="Times New Roman" w:hAnsi="Times New Roman"/>
                <w:sz w:val="22"/>
              </w:rPr>
              <w:t>Кто принимает результат?</w:t>
            </w:r>
          </w:p>
        </w:tc>
        <w:tc>
          <w:tcPr>
            <w:tcW w:type="dxa" w:w="3402"/>
          </w:tcPr>
          <w:p>
            <w:r>
              <w:rPr>
                <w:rFonts w:ascii="Times New Roman" w:hAnsi="Times New Roman"/>
                <w:sz w:val="22"/>
              </w:rPr>
              <w:t>Мастер, метрологическая служба, комиссия, заказчик</w:t>
            </w:r>
          </w:p>
        </w:tc>
        <w:tc>
          <w:tcPr>
            <w:tcW w:type="dxa" w:w="3402"/>
          </w:tcPr>
          <w:p>
            <w:r>
              <w:rPr>
                <w:rFonts w:ascii="Times New Roman" w:hAnsi="Times New Roman"/>
                <w:sz w:val="22"/>
              </w:rPr>
              <w:t>Определяет комплект передаваемых документов</w:t>
            </w:r>
          </w:p>
        </w:tc>
      </w:tr>
      <w:tr>
        <w:tc>
          <w:tcPr>
            <w:tcW w:type="dxa" w:w="2835"/>
          </w:tcPr>
          <w:p>
            <w:r>
              <w:rPr>
                <w:rFonts w:ascii="Times New Roman" w:hAnsi="Times New Roman"/>
                <w:sz w:val="22"/>
              </w:rPr>
              <w:t>Есть ли стоп-условия?</w:t>
            </w:r>
          </w:p>
        </w:tc>
        <w:tc>
          <w:tcPr>
            <w:tcW w:type="dxa" w:w="3402"/>
          </w:tcPr>
          <w:p>
            <w:r>
              <w:rPr>
                <w:rFonts w:ascii="Times New Roman" w:hAnsi="Times New Roman"/>
                <w:sz w:val="22"/>
              </w:rPr>
              <w:t>Риски, неясности, запреты, отсутствие допуска</w:t>
            </w:r>
          </w:p>
        </w:tc>
        <w:tc>
          <w:tcPr>
            <w:tcW w:type="dxa" w:w="3402"/>
          </w:tcPr>
          <w:p>
            <w:r>
              <w:rPr>
                <w:rFonts w:ascii="Times New Roman" w:hAnsi="Times New Roman"/>
                <w:sz w:val="22"/>
              </w:rPr>
              <w:t>Позволяет не начинать работу в опасной ситуации</w:t>
            </w:r>
          </w:p>
        </w:tc>
      </w:tr>
    </w:tbl>
    <w:p/>
    <w:p>
      <w:bookmarkStart w:id="14" w:name="toc_sec_014"/>
      <w:pPr>
        <w:pStyle w:val="Heading2"/>
        <w:spacing w:after="120" w:line="276" w:lineRule="auto"/>
      </w:pPr>
      <w:r>
        <w:rPr>
          <w:rFonts w:ascii="Times New Roman" w:hAnsi="Times New Roman"/>
          <w:b w:val="0"/>
          <w:i w:val="0"/>
          <w:sz w:val="24"/>
        </w:rPr>
        <w:t>Вопросы для закрепления</w:t>
      </w:r>
      <w:bookmarkEnd w:id="14"/>
    </w:p>
    <w:p>
      <w:pPr>
        <w:pStyle w:val="ListNumber"/>
        <w:spacing w:line="276" w:lineRule="auto"/>
      </w:pPr>
      <w:r>
        <w:rPr>
          <w:rFonts w:ascii="Times New Roman" w:hAnsi="Times New Roman"/>
          <w:sz w:val="24"/>
        </w:rPr>
        <w:t>Почему правильнее начинать работу с анализа задания, а не с осмотра клеммной коробки?</w:t>
      </w:r>
    </w:p>
    <w:p>
      <w:pPr>
        <w:pStyle w:val="ListNumber"/>
        <w:spacing w:line="276" w:lineRule="auto"/>
      </w:pPr>
      <w:r>
        <w:rPr>
          <w:rFonts w:ascii="Times New Roman" w:hAnsi="Times New Roman"/>
          <w:sz w:val="24"/>
        </w:rPr>
        <w:t>Какие признаки позволяют однозначно идентифицировать опытный образец?</w:t>
      </w:r>
    </w:p>
    <w:p>
      <w:pPr>
        <w:pStyle w:val="ListNumber"/>
        <w:spacing w:line="276" w:lineRule="auto"/>
      </w:pPr>
      <w:r>
        <w:rPr>
          <w:rFonts w:ascii="Times New Roman" w:hAnsi="Times New Roman"/>
          <w:sz w:val="24"/>
        </w:rPr>
        <w:t>Зачем при подготовке рабочего места разделять зону документации, инструмента и снятых деталей?</w:t>
      </w:r>
    </w:p>
    <w:p>
      <w:pPr>
        <w:pStyle w:val="ListNumber"/>
        <w:spacing w:line="276" w:lineRule="auto"/>
      </w:pPr>
      <w:r>
        <w:rPr>
          <w:rFonts w:ascii="Times New Roman" w:hAnsi="Times New Roman"/>
          <w:sz w:val="24"/>
        </w:rPr>
        <w:t>Почему нулевое показание прибора не подтверждает отсутствие давления?</w:t>
      </w:r>
    </w:p>
    <w:p>
      <w:pPr>
        <w:pStyle w:val="ListNumber"/>
        <w:spacing w:line="276" w:lineRule="auto"/>
      </w:pPr>
      <w:r>
        <w:rPr>
          <w:rFonts w:ascii="Times New Roman" w:hAnsi="Times New Roman"/>
          <w:sz w:val="24"/>
        </w:rPr>
        <w:t>Назовите не менее пяти стоп-условий по теме занятия.</w:t>
      </w:r>
    </w:p>
    <w:p>
      <w:bookmarkStart w:id="15" w:name="toc_sec_015"/>
      <w:pPr>
        <w:pStyle w:val="Heading2"/>
        <w:spacing w:after="120" w:line="276" w:lineRule="auto"/>
      </w:pPr>
      <w:r>
        <w:rPr>
          <w:rFonts w:ascii="Times New Roman" w:hAnsi="Times New Roman"/>
          <w:b w:val="0"/>
          <w:i w:val="0"/>
          <w:sz w:val="24"/>
        </w:rPr>
        <w:t>Мини-задание</w:t>
      </w:r>
      <w:bookmarkEnd w:id="15"/>
    </w:p>
    <w:p>
      <w:pPr>
        <w:spacing w:after="120" w:line="276" w:lineRule="auto"/>
      </w:pPr>
      <w:r>
        <w:rPr>
          <w:rFonts w:ascii="Times New Roman" w:hAnsi="Times New Roman"/>
          <w:b w:val="0"/>
          <w:i w:val="0"/>
          <w:sz w:val="24"/>
        </w:rPr>
        <w:t>Составьте краткий алгоритм действий по теме занятия применительно к одному из объектов: преобразователь давления, термопреобразователь, уровнемер, вторичный прибор или газоанализатор. Отдельно укажите документы, риски, контрольные точки и вид итоговой записи.</w:t>
      </w:r>
    </w:p>
    <w:p>
      <w:r>
        <w:br w:type="page"/>
      </w:r>
    </w:p>
    <w:p>
      <w:bookmarkStart w:id="16" w:name="toc_sec_016"/>
      <w:pPr>
        <w:pStyle w:val="Heading1"/>
        <w:spacing w:after="120" w:line="276" w:lineRule="auto"/>
      </w:pPr>
      <w:r>
        <w:rPr>
          <w:rFonts w:ascii="Times New Roman" w:hAnsi="Times New Roman"/>
          <w:b w:val="0"/>
          <w:i w:val="0"/>
          <w:sz w:val="24"/>
        </w:rPr>
        <w:t>Занятие 2. Вскрытие, демонтаж, очистка, перемещение и монтаж</w:t>
      </w:r>
      <w:bookmarkEnd w:id="16"/>
    </w:p>
    <w:p>
      <w:pPr>
        <w:spacing w:after="120" w:line="276" w:lineRule="auto"/>
      </w:pPr>
      <w:r>
        <w:rPr>
          <w:rFonts w:ascii="Times New Roman" w:hAnsi="Times New Roman"/>
          <w:b/>
          <w:i w:val="0"/>
          <w:sz w:val="24"/>
        </w:rPr>
        <w:t>Продолжительность: 2 академических часа</w:t>
      </w:r>
    </w:p>
    <w:p>
      <w:pPr>
        <w:spacing w:after="120" w:line="276" w:lineRule="auto"/>
      </w:pPr>
      <w:r>
        <w:rPr>
          <w:rFonts w:ascii="Times New Roman" w:hAnsi="Times New Roman"/>
          <w:b w:val="0"/>
          <w:i w:val="0"/>
          <w:sz w:val="24"/>
        </w:rPr>
        <w:t>Цель и ожидаемый результат: После занятия обучающийся должен понимать безопасную последовательность вскрытия, демонтажа и обратного монтажа прибора, уметь сохранять исходное состояние объекта, правильно очищать и перемещать оборудование, не допуская скрытых повреждений.</w:t>
      </w:r>
    </w:p>
    <w:p>
      <w:bookmarkStart w:id="17" w:name="toc_sec_017"/>
      <w:pPr>
        <w:pStyle w:val="Heading2"/>
        <w:spacing w:after="120" w:line="276" w:lineRule="auto"/>
      </w:pPr>
      <w:r>
        <w:rPr>
          <w:rFonts w:ascii="Times New Roman" w:hAnsi="Times New Roman"/>
          <w:b w:val="0"/>
          <w:i w:val="0"/>
          <w:sz w:val="24"/>
        </w:rPr>
        <w:t>2.1. Фиксация исходного состояния до разборки</w:t>
      </w:r>
      <w:bookmarkEnd w:id="17"/>
    </w:p>
    <w:p>
      <w:pPr>
        <w:spacing w:after="120" w:line="276" w:lineRule="auto"/>
      </w:pPr>
      <w:r>
        <w:rPr>
          <w:rFonts w:ascii="Times New Roman" w:hAnsi="Times New Roman"/>
          <w:b w:val="0"/>
          <w:i w:val="0"/>
          <w:sz w:val="24"/>
        </w:rPr>
        <w:t>До первого открученного винта необходимо зафиксировать исходное состояние прибора. Эта операция кажется простой, но именно её отсутствие часто делает результаты последующего ремонта или испытаний спорными. Нужно записать положение переключателей, конфигурацию, уставки, подключение кабелей и импульсных линий, наличие пломб, видимые дефекты, состояние разъёмов и креплений. Для уникального или единичного изделия особенно полезна фотофиксация общих видов и присоединений.</w:t>
      </w:r>
    </w:p>
    <w:p>
      <w:pPr>
        <w:spacing w:after="120" w:line="276" w:lineRule="auto"/>
      </w:pPr>
      <w:r>
        <w:rPr>
          <w:rFonts w:ascii="Times New Roman" w:hAnsi="Times New Roman"/>
          <w:b w:val="0"/>
          <w:i w:val="0"/>
          <w:sz w:val="24"/>
        </w:rPr>
        <w:t>Если объект программируемый, необходимо сохранить версию программного обеспечения и, если предусмотрено, файл настроек. После вмешательства именно эти сведения позволяют отличить аппаратную проблему от изменения конфигурации. Без такой записи нельзя честно ответить на вопрос: прибор стал работать лучше благодаря ремонту или потому, что кто-то изменил настройки?</w:t>
      </w:r>
    </w:p>
    <w:p>
      <w:pPr>
        <w:spacing w:after="120" w:line="276" w:lineRule="auto"/>
      </w:pPr>
      <w:r>
        <w:rPr>
          <w:rFonts w:ascii="Times New Roman" w:hAnsi="Times New Roman"/>
          <w:b w:val="0"/>
          <w:i w:val="0"/>
          <w:sz w:val="24"/>
        </w:rPr>
        <w:t>В учебной практике целесообразно приучать обучающегося к мысли: всё, что можно перепутать при обратной сборке, нужно маркировать сразу. Подписанные бирки, маркировка проводов, схема расположения разъёмов, последовательность снятия деталей — это не лишняя бумага, а инструмент сохранения исходной информации.</w:t>
      </w:r>
    </w:p>
    <w:p>
      <w:bookmarkStart w:id="18" w:name="toc_sec_018"/>
      <w:pPr>
        <w:pStyle w:val="Heading2"/>
        <w:spacing w:after="120" w:line="276" w:lineRule="auto"/>
      </w:pPr>
      <w:r>
        <w:rPr>
          <w:rFonts w:ascii="Times New Roman" w:hAnsi="Times New Roman"/>
          <w:b w:val="0"/>
          <w:i w:val="0"/>
          <w:sz w:val="24"/>
        </w:rPr>
        <w:t>2.2. Безопасное вскрытие корпуса</w:t>
      </w:r>
      <w:bookmarkEnd w:id="18"/>
    </w:p>
    <w:p>
      <w:pPr>
        <w:spacing w:after="120" w:line="276" w:lineRule="auto"/>
      </w:pPr>
      <w:r>
        <w:rPr>
          <w:rFonts w:ascii="Times New Roman" w:hAnsi="Times New Roman"/>
          <w:b w:val="0"/>
          <w:i w:val="0"/>
          <w:sz w:val="24"/>
        </w:rPr>
        <w:t>Вскрытие корпуса разрешается только после снятия всех опасных воздействий и выдержки времени, установленного документацией. Внутри прибора могут сохраняться заряд конденсаторов, давление, горячие элементы, агрессивная или токсичная среда, а также чувствительные узлы, которые легко повредить механически. Поэтому перед снятием крышки очищают наружную поверхность, чтобы загрязнение не попало внутрь и не вызвало нового дефекта.</w:t>
      </w:r>
    </w:p>
    <w:p>
      <w:pPr>
        <w:spacing w:after="120" w:line="276" w:lineRule="auto"/>
      </w:pPr>
      <w:r>
        <w:rPr>
          <w:rFonts w:ascii="Times New Roman" w:hAnsi="Times New Roman"/>
          <w:b w:val="0"/>
          <w:i w:val="0"/>
          <w:sz w:val="24"/>
        </w:rPr>
        <w:t>Крепёж снимают инструментом подходящего размера, без перекоса и рывков. Снятые детали размещают в подписанной таре в порядке демонтажа. У обучающихся полезно выработать привычку: каждая шайба, прокладка и уплотнение должны иметь своё место. Потеря или случайная замена мелкой детали часто приводит к нарушению герметичности, экранирования или точности монтажа.</w:t>
      </w:r>
    </w:p>
    <w:p>
      <w:pPr>
        <w:spacing w:after="120" w:line="276" w:lineRule="auto"/>
      </w:pPr>
      <w:r>
        <w:rPr>
          <w:rFonts w:ascii="Times New Roman" w:hAnsi="Times New Roman"/>
          <w:b w:val="0"/>
          <w:i w:val="0"/>
          <w:sz w:val="24"/>
        </w:rPr>
        <w:t>Пломбы, защитные покрытия и регулировочные элементы нельзя удалять или нарушать без основания, указанного в задании. Если для доступа к внутренним узлам требуется снять пломбу, это должно быть отражено в документации и в итоговой записи. Иначе прослеживаемость будет утрачена: неизвестно, кто и на каком этапе нарушил исходное состояние.</w:t>
      </w:r>
    </w:p>
    <w:p>
      <w:bookmarkStart w:id="19" w:name="toc_sec_019"/>
      <w:pPr>
        <w:pStyle w:val="Heading2"/>
        <w:spacing w:after="120" w:line="276" w:lineRule="auto"/>
      </w:pPr>
      <w:r>
        <w:rPr>
          <w:rFonts w:ascii="Times New Roman" w:hAnsi="Times New Roman"/>
          <w:b w:val="0"/>
          <w:i w:val="0"/>
          <w:sz w:val="24"/>
        </w:rPr>
        <w:t>2.3. Демонтаж первичных и вторичных преобразователей</w:t>
      </w:r>
      <w:bookmarkEnd w:id="19"/>
    </w:p>
    <w:p>
      <w:pPr>
        <w:spacing w:after="120" w:line="276" w:lineRule="auto"/>
      </w:pPr>
      <w:r>
        <w:rPr>
          <w:rFonts w:ascii="Times New Roman" w:hAnsi="Times New Roman"/>
          <w:b w:val="0"/>
          <w:i w:val="0"/>
          <w:sz w:val="24"/>
        </w:rPr>
        <w:t>Демонтаж первичного преобразователя отличается от демонтажа вторичного прибора набором рисков. Первичный преобразователь контактирует с измеряемой средой, поэтому необходимо учитывать давление, температуру, остатки продукта, состояние импульсной линии, массу погружной части, хрупкость чувствительного элемента. Вторичный прибор больше связан с электрическим питанием, подключением цепей, экранами, интерфейсами и логикой работы канала.</w:t>
      </w:r>
    </w:p>
    <w:p>
      <w:pPr>
        <w:spacing w:after="120" w:line="276" w:lineRule="auto"/>
      </w:pPr>
      <w:r>
        <w:rPr>
          <w:rFonts w:ascii="Times New Roman" w:hAnsi="Times New Roman"/>
          <w:b w:val="0"/>
          <w:i w:val="0"/>
          <w:sz w:val="24"/>
        </w:rPr>
        <w:t>Преобразователь давления перед снятием изолируют от процесса, сбрасывают давление, дренируют линию и закрывают штуцер чистой заглушкой. Термопреобразователь снимают с учётом температуры и состояния защитной гильзы, защищая погружную часть от изгиба. Уровнемер требует оценки массы и положения поплавка или зонда. Вторичный прибор снимают после отключения питания и маркировки всех цепей. Газоанализатор дополнительно требует учёта токсичности среды и правильной продувки.</w:t>
      </w:r>
    </w:p>
    <w:p>
      <w:pPr>
        <w:spacing w:after="120" w:line="276" w:lineRule="auto"/>
      </w:pPr>
      <w:r>
        <w:rPr>
          <w:rFonts w:ascii="Times New Roman" w:hAnsi="Times New Roman"/>
          <w:b w:val="0"/>
          <w:i w:val="0"/>
          <w:sz w:val="24"/>
        </w:rPr>
        <w:t>Преподавателю полезно обратить внимание обучающихся на распространённую ошибку: механический демонтаж без анализа того, что произойдёт с системой после снятия прибора. Снятый датчик может оставить открытый канал, нарушить балансировку линии, разомкнуть цепь защиты или вызвать ложный сигнал в системе управления. Поэтому демонтаж всегда рассматривается вместе с последствиями для объекта.</w:t>
      </w:r>
    </w:p>
    <w:p>
      <w:pPr>
        <w:keepLines/>
        <w:spacing w:before="160" w:after="40"/>
        <w:jc w:val="center"/>
      </w:pPr>
      <w:r>
        <w:drawing>
          <wp:inline xmlns:a="http://schemas.openxmlformats.org/drawingml/2006/main" xmlns:pic="http://schemas.openxmlformats.org/drawingml/2006/picture">
            <wp:extent cx="5472000" cy="3463776"/>
            <wp:docPr id="5" name="Picture 5"/>
            <wp:cNvGraphicFramePr>
              <a:graphicFrameLocks noChangeAspect="1"/>
            </wp:cNvGraphicFramePr>
            <a:graphic>
              <a:graphicData uri="http://schemas.openxmlformats.org/drawingml/2006/picture">
                <pic:pic>
                  <pic:nvPicPr>
                    <pic:cNvPr id="0" name="figure13_pressure_transmitter.png"/>
                    <pic:cNvPicPr/>
                  </pic:nvPicPr>
                  <pic:blipFill>
                    <a:blip r:embed="rId18"/>
                    <a:stretch>
                      <a:fillRect/>
                    </a:stretch>
                  </pic:blipFill>
                  <pic:spPr>
                    <a:xfrm>
                      <a:off x="0" y="0"/>
                      <a:ext cx="5472000" cy="3463776"/>
                    </a:xfrm>
                    <a:prstGeom prst="rect"/>
                  </pic:spPr>
                </pic:pic>
              </a:graphicData>
            </a:graphic>
          </wp:inline>
        </w:drawing>
      </w:r>
    </w:p>
    <w:p>
      <w:pPr>
        <w:keepNext w:val="0"/>
        <w:spacing w:after="160"/>
        <w:jc w:val="center"/>
      </w:pPr>
      <w:r>
        <w:rPr>
          <w:rFonts w:ascii="Times New Roman" w:hAnsi="Times New Roman"/>
          <w:i/>
          <w:sz w:val="21"/>
        </w:rPr>
        <w:t>Рисунок 13. Датчик (преобразователь) давления: состав и точки контроля.</w:t>
      </w:r>
    </w:p>
    <w:p>
      <w:pPr>
        <w:keepLines/>
        <w:spacing w:before="160" w:after="40"/>
        <w:jc w:val="center"/>
      </w:pPr>
      <w:r>
        <w:drawing>
          <wp:inline xmlns:a="http://schemas.openxmlformats.org/drawingml/2006/main" xmlns:pic="http://schemas.openxmlformats.org/drawingml/2006/picture">
            <wp:extent cx="5472000" cy="3463776"/>
            <wp:docPr id="6" name="Picture 6"/>
            <wp:cNvGraphicFramePr>
              <a:graphicFrameLocks noChangeAspect="1"/>
            </wp:cNvGraphicFramePr>
            <a:graphic>
              <a:graphicData uri="http://schemas.openxmlformats.org/drawingml/2006/picture">
                <pic:pic>
                  <pic:nvPicPr>
                    <pic:cNvPr id="0" name="figure14_rtd_thermometer.png"/>
                    <pic:cNvPicPr/>
                  </pic:nvPicPr>
                  <pic:blipFill>
                    <a:blip r:embed="rId19"/>
                    <a:stretch>
                      <a:fillRect/>
                    </a:stretch>
                  </pic:blipFill>
                  <pic:spPr>
                    <a:xfrm>
                      <a:off x="0" y="0"/>
                      <a:ext cx="5472000" cy="3463776"/>
                    </a:xfrm>
                    <a:prstGeom prst="rect"/>
                  </pic:spPr>
                </pic:pic>
              </a:graphicData>
            </a:graphic>
          </wp:inline>
        </w:drawing>
      </w:r>
    </w:p>
    <w:p>
      <w:pPr>
        <w:keepNext w:val="0"/>
        <w:spacing w:after="160"/>
        <w:jc w:val="center"/>
      </w:pPr>
      <w:r>
        <w:rPr>
          <w:rFonts w:ascii="Times New Roman" w:hAnsi="Times New Roman"/>
          <w:i/>
          <w:sz w:val="21"/>
        </w:rPr>
        <w:t>Рисунок 14. Термопреобразователь сопротивления: состав и проверка.</w:t>
      </w:r>
    </w:p>
    <w:p>
      <w:pPr>
        <w:keepLines/>
        <w:spacing w:before="160" w:after="40"/>
        <w:jc w:val="center"/>
      </w:pPr>
      <w:r>
        <w:drawing>
          <wp:inline xmlns:a="http://schemas.openxmlformats.org/drawingml/2006/main" xmlns:pic="http://schemas.openxmlformats.org/drawingml/2006/picture">
            <wp:extent cx="5472000" cy="3463776"/>
            <wp:docPr id="7" name="Picture 7"/>
            <wp:cNvGraphicFramePr>
              <a:graphicFrameLocks noChangeAspect="1"/>
            </wp:cNvGraphicFramePr>
            <a:graphic>
              <a:graphicData uri="http://schemas.openxmlformats.org/drawingml/2006/picture">
                <pic:pic>
                  <pic:nvPicPr>
                    <pic:cNvPr id="0" name="figure15_level_meter.png"/>
                    <pic:cNvPicPr/>
                  </pic:nvPicPr>
                  <pic:blipFill>
                    <a:blip r:embed="rId20"/>
                    <a:stretch>
                      <a:fillRect/>
                    </a:stretch>
                  </pic:blipFill>
                  <pic:spPr>
                    <a:xfrm>
                      <a:off x="0" y="0"/>
                      <a:ext cx="5472000" cy="3463776"/>
                    </a:xfrm>
                    <a:prstGeom prst="rect"/>
                  </pic:spPr>
                </pic:pic>
              </a:graphicData>
            </a:graphic>
          </wp:inline>
        </w:drawing>
      </w:r>
    </w:p>
    <w:p>
      <w:pPr>
        <w:keepNext w:val="0"/>
        <w:spacing w:after="160"/>
        <w:jc w:val="center"/>
      </w:pPr>
      <w:r>
        <w:rPr>
          <w:rFonts w:ascii="Times New Roman" w:hAnsi="Times New Roman"/>
          <w:i/>
          <w:sz w:val="21"/>
        </w:rPr>
        <w:t>Рисунок 15. Уровнемер: объект контроля и точки проверки.</w:t>
      </w:r>
    </w:p>
    <w:p>
      <w:pPr>
        <w:keepLines/>
        <w:spacing w:before="160" w:after="40"/>
        <w:jc w:val="center"/>
      </w:pPr>
      <w:r>
        <w:drawing>
          <wp:inline xmlns:a="http://schemas.openxmlformats.org/drawingml/2006/main" xmlns:pic="http://schemas.openxmlformats.org/drawingml/2006/picture">
            <wp:extent cx="5472000" cy="3463776"/>
            <wp:docPr id="8" name="Picture 8"/>
            <wp:cNvGraphicFramePr>
              <a:graphicFrameLocks noChangeAspect="1"/>
            </wp:cNvGraphicFramePr>
            <a:graphic>
              <a:graphicData uri="http://schemas.openxmlformats.org/drawingml/2006/picture">
                <pic:pic>
                  <pic:nvPicPr>
                    <pic:cNvPr id="0" name="figure16_gas_analyzer.png"/>
                    <pic:cNvPicPr/>
                  </pic:nvPicPr>
                  <pic:blipFill>
                    <a:blip r:embed="rId21"/>
                    <a:stretch>
                      <a:fillRect/>
                    </a:stretch>
                  </pic:blipFill>
                  <pic:spPr>
                    <a:xfrm>
                      <a:off x="0" y="0"/>
                      <a:ext cx="5472000" cy="3463776"/>
                    </a:xfrm>
                    <a:prstGeom prst="rect"/>
                  </pic:spPr>
                </pic:pic>
              </a:graphicData>
            </a:graphic>
          </wp:inline>
        </w:drawing>
      </w:r>
    </w:p>
    <w:p>
      <w:pPr>
        <w:keepNext w:val="0"/>
        <w:spacing w:after="160"/>
        <w:jc w:val="center"/>
      </w:pPr>
      <w:r>
        <w:rPr>
          <w:rFonts w:ascii="Times New Roman" w:hAnsi="Times New Roman"/>
          <w:i/>
          <w:sz w:val="21"/>
        </w:rPr>
        <w:t>Рисунок 16. Газоанализатор: состав и безопасная логика проверки.</w:t>
      </w:r>
    </w:p>
    <w:p>
      <w:bookmarkStart w:id="20" w:name="toc_sec_020"/>
      <w:pPr>
        <w:pStyle w:val="Heading2"/>
        <w:spacing w:after="120" w:line="276" w:lineRule="auto"/>
      </w:pPr>
      <w:r>
        <w:rPr>
          <w:rFonts w:ascii="Times New Roman" w:hAnsi="Times New Roman"/>
          <w:b w:val="0"/>
          <w:i w:val="0"/>
          <w:sz w:val="24"/>
        </w:rPr>
        <w:t>2.4. Очистка перед испытаниями</w:t>
      </w:r>
      <w:bookmarkEnd w:id="20"/>
    </w:p>
    <w:p>
      <w:pPr>
        <w:spacing w:after="120" w:line="276" w:lineRule="auto"/>
      </w:pPr>
      <w:r>
        <w:rPr>
          <w:rFonts w:ascii="Times New Roman" w:hAnsi="Times New Roman"/>
          <w:b w:val="0"/>
          <w:i w:val="0"/>
          <w:sz w:val="24"/>
        </w:rPr>
        <w:t>Очистка — это технологическая операция, а не косметика. Загрязнения могут скрывать трещины, нарушать электрический контакт, искажать теплопередачу, ухудшать работу разъёмов и мешать герметичности. Однако неправильная очистка сама по себе может разрушить прибор. Поэтому способ очистки выбирают по материалу корпуса, типу загрязнения и требованиям изготовителя.</w:t>
      </w:r>
    </w:p>
    <w:p>
      <w:pPr>
        <w:spacing w:after="120" w:line="276" w:lineRule="auto"/>
      </w:pPr>
      <w:r>
        <w:rPr>
          <w:rFonts w:ascii="Times New Roman" w:hAnsi="Times New Roman"/>
          <w:b w:val="0"/>
          <w:i w:val="0"/>
          <w:sz w:val="24"/>
        </w:rPr>
        <w:t>Сначала удаляют рыхлое загрязнение безопасным способом. Растворители и жидкости применяют только при подтверждённой совместимости. Нельзя использовать металлический инструмент на мембранах, чувствительных поверхностях и оптике; нельзя направлять сжатый воздух в полости, где это может повредить чувствительный элемент или занести загрязнение глубже. После очистки необходимо заново оценить состояние корпуса, резьбы, уплотнений, кабелей и маркировки.</w:t>
      </w:r>
    </w:p>
    <w:p>
      <w:pPr>
        <w:spacing w:after="120" w:line="276" w:lineRule="auto"/>
      </w:pPr>
      <w:r>
        <w:rPr>
          <w:rFonts w:ascii="Times New Roman" w:hAnsi="Times New Roman"/>
          <w:b w:val="0"/>
          <w:i w:val="0"/>
          <w:sz w:val="24"/>
        </w:rPr>
        <w:t>В учебном процессе полезно разбирать примеры ошибочной очистки: промывка случайным растворителем, грубое соскабливание отложений, продувка без защиты глаз и окружающих, использование влажной салфетки там, где требуется сухая очистка. Каждая такая ошибка на реальном объекте может создать скрытый дефект, который проявится только после сборки и включения.</w:t>
      </w:r>
    </w:p>
    <w:p>
      <w:bookmarkStart w:id="21" w:name="toc_sec_021"/>
      <w:pPr>
        <w:pStyle w:val="Heading2"/>
        <w:spacing w:after="120" w:line="276" w:lineRule="auto"/>
      </w:pPr>
      <w:r>
        <w:rPr>
          <w:rFonts w:ascii="Times New Roman" w:hAnsi="Times New Roman"/>
          <w:b w:val="0"/>
          <w:i w:val="0"/>
          <w:sz w:val="24"/>
        </w:rPr>
        <w:t>2.5. Перемещение внутри участка и хранение</w:t>
      </w:r>
      <w:bookmarkEnd w:id="21"/>
    </w:p>
    <w:p>
      <w:pPr>
        <w:spacing w:after="120" w:line="276" w:lineRule="auto"/>
      </w:pPr>
      <w:r>
        <w:rPr>
          <w:rFonts w:ascii="Times New Roman" w:hAnsi="Times New Roman"/>
          <w:b w:val="0"/>
          <w:i w:val="0"/>
          <w:sz w:val="24"/>
        </w:rPr>
        <w:t>Перемещение прибора от места установки к стенду или от участка ремонта к месту хранения тоже входит в профессиональную операцию. Перед переносом закрывают отверстия и разъёмы, закрепляют подвижные элементы, снимают незакреплённые принадлежности, оценивают массу и габариты. Переносить прибор за кабель, штуцер, маховик или импульсную трубку недопустимо.</w:t>
      </w:r>
    </w:p>
    <w:p>
      <w:pPr>
        <w:spacing w:after="120" w:line="276" w:lineRule="auto"/>
      </w:pPr>
      <w:r>
        <w:rPr>
          <w:rFonts w:ascii="Times New Roman" w:hAnsi="Times New Roman"/>
          <w:b w:val="0"/>
          <w:i w:val="0"/>
          <w:sz w:val="24"/>
        </w:rPr>
        <w:t>Для опытного и экспериментального оборудования требования часто жёстче, чем для серийного. Тара должна защищать не только от удара, но и от статического электричества, влаги, смешения модулей и деталей. На упаковке указывают объект, положение при транспортировании и ограничения. Если прибор имеет хрупкий чувствительный элемент, это обязательно отмечают.</w:t>
      </w:r>
    </w:p>
    <w:p>
      <w:pPr>
        <w:spacing w:after="120" w:line="276" w:lineRule="auto"/>
      </w:pPr>
      <w:r>
        <w:rPr>
          <w:rFonts w:ascii="Times New Roman" w:hAnsi="Times New Roman"/>
          <w:b w:val="0"/>
          <w:i w:val="0"/>
          <w:sz w:val="24"/>
        </w:rPr>
        <w:t>С точки зрения обучения важно формировать представление, что повреждение при переносе — это такой же производственный дефект, как ошибка в электрическом подключении. Если прибор был исправен после испытаний, но повреждён при обратном переносе, итоговый результат работы нельзя считать успешным.</w:t>
      </w:r>
    </w:p>
    <w:p>
      <w:bookmarkStart w:id="22" w:name="toc_sec_022"/>
      <w:pPr>
        <w:pStyle w:val="Heading2"/>
        <w:spacing w:after="120" w:line="276" w:lineRule="auto"/>
      </w:pPr>
      <w:r>
        <w:rPr>
          <w:rFonts w:ascii="Times New Roman" w:hAnsi="Times New Roman"/>
          <w:b w:val="0"/>
          <w:i w:val="0"/>
          <w:sz w:val="24"/>
        </w:rPr>
        <w:t>2.6. Монтаж на стенде и возврат на место установки</w:t>
      </w:r>
      <w:bookmarkEnd w:id="22"/>
    </w:p>
    <w:p>
      <w:pPr>
        <w:spacing w:after="120" w:line="276" w:lineRule="auto"/>
      </w:pPr>
      <w:r>
        <w:rPr>
          <w:rFonts w:ascii="Times New Roman" w:hAnsi="Times New Roman"/>
          <w:b w:val="0"/>
          <w:i w:val="0"/>
          <w:sz w:val="24"/>
        </w:rPr>
        <w:t>При монтаже на испытательном стенде прибор закрепляют устойчиво, без недопустимых напряжений корпуса и присоединений. Переходники подбирают по резьбе, материалу и допустимому давлению. Уплотнение не должно перекрывать канал. Сначала выполняют механическое закрепление, затем собирают сигнальные цепи и питание. После этого обязательно проводят независимую проверку соединений.</w:t>
      </w:r>
    </w:p>
    <w:p>
      <w:pPr>
        <w:spacing w:after="120" w:line="276" w:lineRule="auto"/>
      </w:pPr>
      <w:r>
        <w:rPr>
          <w:rFonts w:ascii="Times New Roman" w:hAnsi="Times New Roman"/>
          <w:b w:val="0"/>
          <w:i w:val="0"/>
          <w:sz w:val="24"/>
        </w:rPr>
        <w:t>Возврат на место установки после испытаний требует не меньшей внимательности, чем снятие. Нужно проверить монтажное положение, прокладки, крепёж, заземление, герметизацию вводов, маркировку линий и кабелей. Включение выполняют по согласованной последовательности: сначала подача среды, затем питание, затем проверка индикации, сигнала, связи и поведения в системе управления. Наблюдение после включения — полноценная часть сдачи прибора.</w:t>
      </w:r>
    </w:p>
    <w:p>
      <w:pPr>
        <w:spacing w:after="120" w:line="276" w:lineRule="auto"/>
      </w:pPr>
      <w:r>
        <w:rPr>
          <w:rFonts w:ascii="Times New Roman" w:hAnsi="Times New Roman"/>
          <w:b w:val="0"/>
          <w:i w:val="0"/>
          <w:sz w:val="24"/>
        </w:rPr>
        <w:t>У обучающегося необходимо закрепить мысль: обратный монтаж — не «простая сборка назад», а самостоятельный этап контроля качества. Ошибка на этом этапе может перечеркнуть качественно выполненный ремонт и точные испытания.</w:t>
      </w:r>
    </w:p>
    <w:p>
      <w:bookmarkStart w:id="23" w:name="toc_sec_023"/>
      <w:pPr>
        <w:pStyle w:val="Heading2"/>
        <w:spacing w:after="120" w:line="276" w:lineRule="auto"/>
      </w:pPr>
      <w:r>
        <w:rPr>
          <w:rFonts w:ascii="Times New Roman" w:hAnsi="Times New Roman"/>
          <w:b w:val="0"/>
          <w:i w:val="0"/>
          <w:sz w:val="24"/>
        </w:rPr>
        <w:t>Типовые действия при демонтаже</w:t>
      </w:r>
      <w:bookmarkEnd w:id="23"/>
    </w:p>
    <w:tbl>
      <w:tblPr>
        <w:tblStyle w:val="TableGrid"/>
        <w:tblW w:type="auto" w:w="0"/>
        <w:jc w:val="center"/>
        <w:tblLook w:firstColumn="1" w:firstRow="1" w:lastColumn="0" w:lastRow="0" w:noHBand="0" w:noVBand="1" w:val="04A0"/>
      </w:tblPr>
      <w:tblGrid>
        <w:gridCol w:w="3230"/>
        <w:gridCol w:w="3230"/>
        <w:gridCol w:w="3230"/>
      </w:tblGrid>
      <w:tr>
        <w:tc>
          <w:tcPr>
            <w:tcW w:type="dxa" w:w="2835"/>
            <w:vAlign w:val="center"/>
          </w:tcPr>
          <w:p>
            <w:r>
              <w:rPr>
                <w:rFonts w:ascii="Times New Roman" w:hAnsi="Times New Roman"/>
                <w:b/>
                <w:sz w:val="22"/>
              </w:rPr>
              <w:t>Объект</w:t>
            </w:r>
          </w:p>
        </w:tc>
        <w:tc>
          <w:tcPr>
            <w:tcW w:type="dxa" w:w="3402"/>
            <w:vAlign w:val="center"/>
          </w:tcPr>
          <w:p>
            <w:r>
              <w:rPr>
                <w:rFonts w:ascii="Times New Roman" w:hAnsi="Times New Roman"/>
                <w:b/>
                <w:sz w:val="22"/>
              </w:rPr>
              <w:t>Что сделать перед снятием</w:t>
            </w:r>
          </w:p>
        </w:tc>
        <w:tc>
          <w:tcPr>
            <w:tcW w:type="dxa" w:w="3402"/>
            <w:vAlign w:val="center"/>
          </w:tcPr>
          <w:p>
            <w:r>
              <w:rPr>
                <w:rFonts w:ascii="Times New Roman" w:hAnsi="Times New Roman"/>
                <w:b/>
                <w:sz w:val="22"/>
              </w:rPr>
              <w:t>Как защитить после снятия</w:t>
            </w:r>
          </w:p>
        </w:tc>
      </w:tr>
      <w:tr>
        <w:tc>
          <w:tcPr>
            <w:tcW w:type="dxa" w:w="2835"/>
          </w:tcPr>
          <w:p>
            <w:r>
              <w:rPr>
                <w:rFonts w:ascii="Times New Roman" w:hAnsi="Times New Roman"/>
                <w:sz w:val="22"/>
              </w:rPr>
              <w:t>Преобразователь давления</w:t>
            </w:r>
          </w:p>
        </w:tc>
        <w:tc>
          <w:tcPr>
            <w:tcW w:type="dxa" w:w="3402"/>
          </w:tcPr>
          <w:p>
            <w:r>
              <w:rPr>
                <w:rFonts w:ascii="Times New Roman" w:hAnsi="Times New Roman"/>
                <w:sz w:val="22"/>
              </w:rPr>
              <w:t>Изолировать процесс, сбросить давление, дренировать линию</w:t>
            </w:r>
          </w:p>
        </w:tc>
        <w:tc>
          <w:tcPr>
            <w:tcW w:type="dxa" w:w="3402"/>
          </w:tcPr>
          <w:p>
            <w:r>
              <w:rPr>
                <w:rFonts w:ascii="Times New Roman" w:hAnsi="Times New Roman"/>
                <w:sz w:val="22"/>
              </w:rPr>
              <w:t>Закрыть штуцер чистой заглушкой</w:t>
            </w:r>
          </w:p>
        </w:tc>
      </w:tr>
      <w:tr>
        <w:tc>
          <w:tcPr>
            <w:tcW w:type="dxa" w:w="2835"/>
          </w:tcPr>
          <w:p>
            <w:r>
              <w:rPr>
                <w:rFonts w:ascii="Times New Roman" w:hAnsi="Times New Roman"/>
                <w:sz w:val="22"/>
              </w:rPr>
              <w:t>Термопреобразователь</w:t>
            </w:r>
          </w:p>
        </w:tc>
        <w:tc>
          <w:tcPr>
            <w:tcW w:type="dxa" w:w="3402"/>
          </w:tcPr>
          <w:p>
            <w:r>
              <w:rPr>
                <w:rFonts w:ascii="Times New Roman" w:hAnsi="Times New Roman"/>
                <w:sz w:val="22"/>
              </w:rPr>
              <w:t>Оценить температуру, состояние защитной гильзы</w:t>
            </w:r>
          </w:p>
        </w:tc>
        <w:tc>
          <w:tcPr>
            <w:tcW w:type="dxa" w:w="3402"/>
          </w:tcPr>
          <w:p>
            <w:r>
              <w:rPr>
                <w:rFonts w:ascii="Times New Roman" w:hAnsi="Times New Roman"/>
                <w:sz w:val="22"/>
              </w:rPr>
              <w:t>Защитить чувствительную часть от изгиба и удара</w:t>
            </w:r>
          </w:p>
        </w:tc>
      </w:tr>
      <w:tr>
        <w:tc>
          <w:tcPr>
            <w:tcW w:type="dxa" w:w="2835"/>
          </w:tcPr>
          <w:p>
            <w:r>
              <w:rPr>
                <w:rFonts w:ascii="Times New Roman" w:hAnsi="Times New Roman"/>
                <w:sz w:val="22"/>
              </w:rPr>
              <w:t>Уровнемер</w:t>
            </w:r>
          </w:p>
        </w:tc>
        <w:tc>
          <w:tcPr>
            <w:tcW w:type="dxa" w:w="3402"/>
          </w:tcPr>
          <w:p>
            <w:r>
              <w:rPr>
                <w:rFonts w:ascii="Times New Roman" w:hAnsi="Times New Roman"/>
                <w:sz w:val="22"/>
              </w:rPr>
              <w:t>Исключить давление, проверить массу элементов</w:t>
            </w:r>
          </w:p>
        </w:tc>
        <w:tc>
          <w:tcPr>
            <w:tcW w:type="dxa" w:w="3402"/>
          </w:tcPr>
          <w:p>
            <w:r>
              <w:rPr>
                <w:rFonts w:ascii="Times New Roman" w:hAnsi="Times New Roman"/>
                <w:sz w:val="22"/>
              </w:rPr>
              <w:t>Зафиксировать поплавок или зонд</w:t>
            </w:r>
          </w:p>
        </w:tc>
      </w:tr>
      <w:tr>
        <w:tc>
          <w:tcPr>
            <w:tcW w:type="dxa" w:w="2835"/>
          </w:tcPr>
          <w:p>
            <w:r>
              <w:rPr>
                <w:rFonts w:ascii="Times New Roman" w:hAnsi="Times New Roman"/>
                <w:sz w:val="22"/>
              </w:rPr>
              <w:t>Вторичный прибор</w:t>
            </w:r>
          </w:p>
        </w:tc>
        <w:tc>
          <w:tcPr>
            <w:tcW w:type="dxa" w:w="3402"/>
          </w:tcPr>
          <w:p>
            <w:r>
              <w:rPr>
                <w:rFonts w:ascii="Times New Roman" w:hAnsi="Times New Roman"/>
                <w:sz w:val="22"/>
              </w:rPr>
              <w:t>Снять питание, промаркировать цепи</w:t>
            </w:r>
          </w:p>
        </w:tc>
        <w:tc>
          <w:tcPr>
            <w:tcW w:type="dxa" w:w="3402"/>
          </w:tcPr>
          <w:p>
            <w:r>
              <w:rPr>
                <w:rFonts w:ascii="Times New Roman" w:hAnsi="Times New Roman"/>
                <w:sz w:val="22"/>
              </w:rPr>
              <w:t>Закрыть клеммы, сохранить перемычки и настройки</w:t>
            </w:r>
          </w:p>
        </w:tc>
      </w:tr>
      <w:tr>
        <w:tc>
          <w:tcPr>
            <w:tcW w:type="dxa" w:w="2835"/>
          </w:tcPr>
          <w:p>
            <w:r>
              <w:rPr>
                <w:rFonts w:ascii="Times New Roman" w:hAnsi="Times New Roman"/>
                <w:sz w:val="22"/>
              </w:rPr>
              <w:t>Газоанализатор</w:t>
            </w:r>
          </w:p>
        </w:tc>
        <w:tc>
          <w:tcPr>
            <w:tcW w:type="dxa" w:w="3402"/>
          </w:tcPr>
          <w:p>
            <w:r>
              <w:rPr>
                <w:rFonts w:ascii="Times New Roman" w:hAnsi="Times New Roman"/>
                <w:sz w:val="22"/>
              </w:rPr>
              <w:t>Отключить пробоотбор, учесть токсичность среды</w:t>
            </w:r>
          </w:p>
        </w:tc>
        <w:tc>
          <w:tcPr>
            <w:tcW w:type="dxa" w:w="3402"/>
          </w:tcPr>
          <w:p>
            <w:r>
              <w:rPr>
                <w:rFonts w:ascii="Times New Roman" w:hAnsi="Times New Roman"/>
                <w:sz w:val="22"/>
              </w:rPr>
              <w:t>Защитить сенсор и закрыть газовые входы</w:t>
            </w:r>
          </w:p>
        </w:tc>
      </w:tr>
    </w:tbl>
    <w:p/>
    <w:p>
      <w:bookmarkStart w:id="24" w:name="toc_sec_024"/>
      <w:pPr>
        <w:pStyle w:val="Heading2"/>
        <w:spacing w:after="120" w:line="276" w:lineRule="auto"/>
      </w:pPr>
      <w:r>
        <w:rPr>
          <w:rFonts w:ascii="Times New Roman" w:hAnsi="Times New Roman"/>
          <w:b w:val="0"/>
          <w:i w:val="0"/>
          <w:sz w:val="24"/>
        </w:rPr>
        <w:t>Вопросы для закрепления</w:t>
      </w:r>
      <w:bookmarkEnd w:id="24"/>
    </w:p>
    <w:p>
      <w:pPr>
        <w:pStyle w:val="ListNumber"/>
        <w:spacing w:line="276" w:lineRule="auto"/>
      </w:pPr>
      <w:r>
        <w:rPr>
          <w:rFonts w:ascii="Times New Roman" w:hAnsi="Times New Roman"/>
          <w:sz w:val="24"/>
        </w:rPr>
        <w:t>Зачем нужно фиксировать исходное состояние прибора до начала разборки?</w:t>
      </w:r>
    </w:p>
    <w:p>
      <w:pPr>
        <w:pStyle w:val="ListNumber"/>
        <w:spacing w:line="276" w:lineRule="auto"/>
      </w:pPr>
      <w:r>
        <w:rPr>
          <w:rFonts w:ascii="Times New Roman" w:hAnsi="Times New Roman"/>
          <w:sz w:val="24"/>
        </w:rPr>
        <w:t>Какие остаточные опасности могут сохраняться после снятия питания?</w:t>
      </w:r>
    </w:p>
    <w:p>
      <w:pPr>
        <w:pStyle w:val="ListNumber"/>
        <w:spacing w:line="276" w:lineRule="auto"/>
      </w:pPr>
      <w:r>
        <w:rPr>
          <w:rFonts w:ascii="Times New Roman" w:hAnsi="Times New Roman"/>
          <w:sz w:val="24"/>
        </w:rPr>
        <w:t>Почему очистку нельзя выполнять «любым подходящим растворителем»?</w:t>
      </w:r>
    </w:p>
    <w:p>
      <w:pPr>
        <w:pStyle w:val="ListNumber"/>
        <w:spacing w:line="276" w:lineRule="auto"/>
      </w:pPr>
      <w:r>
        <w:rPr>
          <w:rFonts w:ascii="Times New Roman" w:hAnsi="Times New Roman"/>
          <w:sz w:val="24"/>
        </w:rPr>
        <w:t>Какие меры защищают опытный прибор при перемещении внутри участка?</w:t>
      </w:r>
    </w:p>
    <w:p>
      <w:pPr>
        <w:pStyle w:val="ListNumber"/>
        <w:spacing w:line="276" w:lineRule="auto"/>
      </w:pPr>
      <w:r>
        <w:rPr>
          <w:rFonts w:ascii="Times New Roman" w:hAnsi="Times New Roman"/>
          <w:sz w:val="24"/>
        </w:rPr>
        <w:t>Что обязательно проверяют перед первой подачей питания после монтажа?</w:t>
      </w:r>
    </w:p>
    <w:p>
      <w:bookmarkStart w:id="25" w:name="toc_sec_025"/>
      <w:pPr>
        <w:pStyle w:val="Heading2"/>
        <w:spacing w:after="120" w:line="276" w:lineRule="auto"/>
      </w:pPr>
      <w:r>
        <w:rPr>
          <w:rFonts w:ascii="Times New Roman" w:hAnsi="Times New Roman"/>
          <w:b w:val="0"/>
          <w:i w:val="0"/>
          <w:sz w:val="24"/>
        </w:rPr>
        <w:t>Мини-задание</w:t>
      </w:r>
      <w:bookmarkEnd w:id="25"/>
    </w:p>
    <w:p>
      <w:pPr>
        <w:spacing w:after="120" w:line="276" w:lineRule="auto"/>
      </w:pPr>
      <w:r>
        <w:rPr>
          <w:rFonts w:ascii="Times New Roman" w:hAnsi="Times New Roman"/>
          <w:b w:val="0"/>
          <w:i w:val="0"/>
          <w:sz w:val="24"/>
        </w:rPr>
        <w:t>Составьте краткий алгоритм действий по теме занятия применительно к одному из объектов: преобразователь давления, термопреобразователь, уровнемер, вторичный прибор или газоанализатор. Отдельно укажите документы, риски, контрольные точки и вид итоговой записи.</w:t>
      </w:r>
    </w:p>
    <w:p>
      <w:r>
        <w:br w:type="page"/>
      </w:r>
    </w:p>
    <w:p>
      <w:bookmarkStart w:id="26" w:name="toc_sec_026"/>
      <w:pPr>
        <w:pStyle w:val="Heading1"/>
        <w:spacing w:after="120" w:line="276" w:lineRule="auto"/>
      </w:pPr>
      <w:r>
        <w:rPr>
          <w:rFonts w:ascii="Times New Roman" w:hAnsi="Times New Roman"/>
          <w:b w:val="0"/>
          <w:i w:val="0"/>
          <w:sz w:val="24"/>
        </w:rPr>
        <w:t>Занятие 3. Испытательная схема и средства контроля</w:t>
      </w:r>
      <w:bookmarkEnd w:id="26"/>
    </w:p>
    <w:p>
      <w:pPr>
        <w:spacing w:after="120" w:line="276" w:lineRule="auto"/>
      </w:pPr>
      <w:r>
        <w:rPr>
          <w:rFonts w:ascii="Times New Roman" w:hAnsi="Times New Roman"/>
          <w:b/>
          <w:i w:val="0"/>
          <w:sz w:val="24"/>
        </w:rPr>
        <w:t>Продолжительность: 2 академических часа</w:t>
      </w:r>
    </w:p>
    <w:p>
      <w:pPr>
        <w:spacing w:after="120" w:line="276" w:lineRule="auto"/>
      </w:pPr>
      <w:r>
        <w:rPr>
          <w:rFonts w:ascii="Times New Roman" w:hAnsi="Times New Roman"/>
          <w:b w:val="0"/>
          <w:i w:val="0"/>
          <w:sz w:val="24"/>
        </w:rPr>
        <w:t>Цель и ожидаемый результат: После занятия обучающийся должен уметь подбирать средства контроля по диапазону и точности, понимать назначение элементов испытательной схемы, различать режимы работы мультиметра, магазина сопротивления и калибратора, а также выполнять проверку схемы до включения.</w:t>
      </w:r>
    </w:p>
    <w:p>
      <w:bookmarkStart w:id="27" w:name="toc_sec_027"/>
      <w:pPr>
        <w:pStyle w:val="Heading2"/>
        <w:spacing w:after="120" w:line="276" w:lineRule="auto"/>
      </w:pPr>
      <w:r>
        <w:rPr>
          <w:rFonts w:ascii="Times New Roman" w:hAnsi="Times New Roman"/>
          <w:b w:val="0"/>
          <w:i w:val="0"/>
          <w:sz w:val="24"/>
        </w:rPr>
        <w:t>3.1. Испытательная схема как система</w:t>
      </w:r>
      <w:bookmarkEnd w:id="27"/>
    </w:p>
    <w:p>
      <w:pPr>
        <w:spacing w:after="120" w:line="276" w:lineRule="auto"/>
      </w:pPr>
      <w:r>
        <w:rPr>
          <w:rFonts w:ascii="Times New Roman" w:hAnsi="Times New Roman"/>
          <w:b w:val="0"/>
          <w:i w:val="0"/>
          <w:sz w:val="24"/>
        </w:rPr>
        <w:t>Испытательная схема — это не набор проводов между источником питания и прибором. Это организованная система, которая воспроизводит входное воздействие, обеспечивает питание, измеряет выходной сигнал, ограничивает опасные режимы и позволяет зарегистрировать результат. В ней каждый элемент должен иметь понятное назначение, а каждое соединение должно быть обосновано документом.</w:t>
      </w:r>
    </w:p>
    <w:p>
      <w:pPr>
        <w:spacing w:after="120" w:line="276" w:lineRule="auto"/>
      </w:pPr>
      <w:r>
        <w:rPr>
          <w:rFonts w:ascii="Times New Roman" w:hAnsi="Times New Roman"/>
          <w:b w:val="0"/>
          <w:i w:val="0"/>
          <w:sz w:val="24"/>
        </w:rPr>
        <w:t>Классическая структура включает источник воздействия, эталонное средство измерений, проверяемый прибор, источник питания, средство контроля и систему регистрации результатов. Ошибка одного элемента влияет на весь результат: например, неверный режим калибратора или амперметр, включённый параллельно, может не только исказить данные, но и повредить оборудование.</w:t>
      </w:r>
    </w:p>
    <w:p>
      <w:pPr>
        <w:spacing w:after="120" w:line="276" w:lineRule="auto"/>
      </w:pPr>
      <w:r>
        <w:rPr>
          <w:rFonts w:ascii="Times New Roman" w:hAnsi="Times New Roman"/>
          <w:b w:val="0"/>
          <w:i w:val="0"/>
          <w:sz w:val="24"/>
        </w:rPr>
        <w:t>Для преподавателя важно показывать испытательную схему не как «рисунок для отчёта», а как модель будущих действий. Обучающийся должен видеть, откуда приходит воздействие, где формируется входная величина, кто кого питает, кто измеряет, как снимаются данные и где расположены точки потенциальной ошибки.</w:t>
      </w:r>
    </w:p>
    <w:p>
      <w:pPr>
        <w:keepLines/>
        <w:spacing w:before="160" w:after="40"/>
        <w:jc w:val="center"/>
      </w:pPr>
      <w:r>
        <w:drawing>
          <wp:inline xmlns:a="http://schemas.openxmlformats.org/drawingml/2006/main" xmlns:pic="http://schemas.openxmlformats.org/drawingml/2006/picture">
            <wp:extent cx="5760000" cy="3121920"/>
            <wp:docPr id="9" name="Picture 9"/>
            <wp:cNvGraphicFramePr>
              <a:graphicFrameLocks noChangeAspect="1"/>
            </wp:cNvGraphicFramePr>
            <a:graphic>
              <a:graphicData uri="http://schemas.openxmlformats.org/drawingml/2006/picture">
                <pic:pic>
                  <pic:nvPicPr>
                    <pic:cNvPr id="0" name="figure7_measurement_chain.png"/>
                    <pic:cNvPicPr/>
                  </pic:nvPicPr>
                  <pic:blipFill>
                    <a:blip r:embed="rId22"/>
                    <a:stretch>
                      <a:fillRect/>
                    </a:stretch>
                  </pic:blipFill>
                  <pic:spPr>
                    <a:xfrm>
                      <a:off x="0" y="0"/>
                      <a:ext cx="5760000" cy="3121920"/>
                    </a:xfrm>
                    <a:prstGeom prst="rect"/>
                  </pic:spPr>
                </pic:pic>
              </a:graphicData>
            </a:graphic>
          </wp:inline>
        </w:drawing>
      </w:r>
    </w:p>
    <w:p>
      <w:pPr>
        <w:keepNext w:val="0"/>
        <w:spacing w:after="160"/>
        <w:jc w:val="center"/>
      </w:pPr>
      <w:r>
        <w:rPr>
          <w:rFonts w:ascii="Times New Roman" w:hAnsi="Times New Roman"/>
          <w:i/>
          <w:sz w:val="21"/>
        </w:rPr>
        <w:t>Рисунок 7. Измерительная цепочка: от среды к решению.</w:t>
      </w:r>
    </w:p>
    <w:p>
      <w:pPr>
        <w:keepLines/>
        <w:spacing w:before="160" w:after="40"/>
        <w:jc w:val="center"/>
      </w:pPr>
      <w:r>
        <w:drawing>
          <wp:inline xmlns:a="http://schemas.openxmlformats.org/drawingml/2006/main" xmlns:pic="http://schemas.openxmlformats.org/drawingml/2006/picture">
            <wp:extent cx="5760000" cy="3358080"/>
            <wp:docPr id="10" name="Picture 10"/>
            <wp:cNvGraphicFramePr>
              <a:graphicFrameLocks noChangeAspect="1"/>
            </wp:cNvGraphicFramePr>
            <a:graphic>
              <a:graphicData uri="http://schemas.openxmlformats.org/drawingml/2006/picture">
                <pic:pic>
                  <pic:nvPicPr>
                    <pic:cNvPr id="0" name="figure2_test_scheme.png"/>
                    <pic:cNvPicPr/>
                  </pic:nvPicPr>
                  <pic:blipFill>
                    <a:blip r:embed="rId23"/>
                    <a:stretch>
                      <a:fillRect/>
                    </a:stretch>
                  </pic:blipFill>
                  <pic:spPr>
                    <a:xfrm>
                      <a:off x="0" y="0"/>
                      <a:ext cx="5760000" cy="3358080"/>
                    </a:xfrm>
                    <a:prstGeom prst="rect"/>
                  </pic:spPr>
                </pic:pic>
              </a:graphicData>
            </a:graphic>
          </wp:inline>
        </w:drawing>
      </w:r>
    </w:p>
    <w:p>
      <w:pPr>
        <w:keepNext w:val="0"/>
        <w:spacing w:after="160"/>
        <w:jc w:val="center"/>
      </w:pPr>
      <w:r>
        <w:rPr>
          <w:rFonts w:ascii="Times New Roman" w:hAnsi="Times New Roman"/>
          <w:i/>
          <w:sz w:val="21"/>
        </w:rPr>
        <w:t>Рисунок 2. Структура испытательной схемы для проверки КИП.</w:t>
      </w:r>
    </w:p>
    <w:p>
      <w:bookmarkStart w:id="28" w:name="toc_sec_028"/>
      <w:pPr>
        <w:pStyle w:val="Heading2"/>
        <w:spacing w:after="120" w:line="276" w:lineRule="auto"/>
      </w:pPr>
      <w:r>
        <w:rPr>
          <w:rFonts w:ascii="Times New Roman" w:hAnsi="Times New Roman"/>
          <w:b w:val="0"/>
          <w:i w:val="0"/>
          <w:sz w:val="24"/>
        </w:rPr>
        <w:t>3.2. Выбор средства контроля</w:t>
      </w:r>
      <w:bookmarkEnd w:id="28"/>
    </w:p>
    <w:p>
      <w:pPr>
        <w:spacing w:after="120" w:line="276" w:lineRule="auto"/>
      </w:pPr>
      <w:r>
        <w:rPr>
          <w:rFonts w:ascii="Times New Roman" w:hAnsi="Times New Roman"/>
          <w:b w:val="0"/>
          <w:i w:val="0"/>
          <w:sz w:val="24"/>
        </w:rPr>
        <w:t>Выбор прибора по одному лишь диапазону — недостаточный и опасный подход. Необходимо учитывать допускаемую погрешность, разрешение, стабильность, схему подключения, входное сопротивление, нагрузочную способность, вид сигнала и метрологический статус. Если погрешность средства контроля сравнима с допуском проверяемого прибора, достоверное решение о годности невозможно.</w:t>
      </w:r>
    </w:p>
    <w:p>
      <w:pPr>
        <w:spacing w:after="120" w:line="276" w:lineRule="auto"/>
      </w:pPr>
      <w:r>
        <w:rPr>
          <w:rFonts w:ascii="Times New Roman" w:hAnsi="Times New Roman"/>
          <w:b w:val="0"/>
          <w:i w:val="0"/>
          <w:sz w:val="24"/>
        </w:rPr>
        <w:t>Например, при проверке канала 4–20 мА важно не только выбрать мультиметр, способный измерять ток до 20 мА, но и убедиться в достаточной точности, правильности токового входа, исправности предохранителя и допустимой нагрузке цепи. Аналогично, при проверке термопреобразователя сопротивления требуется учитывать схему подключения — двух-, трёх- или четырёхпроводную — и сопротивление соединительных проводов.</w:t>
      </w:r>
    </w:p>
    <w:p>
      <w:pPr>
        <w:spacing w:after="120" w:line="276" w:lineRule="auto"/>
      </w:pPr>
      <w:r>
        <w:rPr>
          <w:rFonts w:ascii="Times New Roman" w:hAnsi="Times New Roman"/>
          <w:b w:val="0"/>
          <w:i w:val="0"/>
          <w:sz w:val="24"/>
        </w:rPr>
        <w:t>Обучающемуся полезно разбирать сравнительные ситуации: прибор формально подходит по диапазону, но не обеспечивает требуемой точности; прибор точный, но имеет истёкший статус; калибратор позволяет задавать нужный сигнал, но пользователь выбрал неверный режим. Такие примеры развивают инженерное мышление и показывают, что «подходит по шкале» ещё не значит «пригоден для решения задачи».</w:t>
      </w:r>
    </w:p>
    <w:p>
      <w:bookmarkStart w:id="29" w:name="toc_sec_029"/>
      <w:pPr>
        <w:pStyle w:val="Heading2"/>
        <w:spacing w:after="120" w:line="276" w:lineRule="auto"/>
      </w:pPr>
      <w:r>
        <w:rPr>
          <w:rFonts w:ascii="Times New Roman" w:hAnsi="Times New Roman"/>
          <w:b w:val="0"/>
          <w:i w:val="0"/>
          <w:sz w:val="24"/>
        </w:rPr>
        <w:t>3.3. Работа с мультиметром</w:t>
      </w:r>
      <w:bookmarkEnd w:id="29"/>
    </w:p>
    <w:p>
      <w:pPr>
        <w:spacing w:after="120" w:line="276" w:lineRule="auto"/>
      </w:pPr>
      <w:r>
        <w:rPr>
          <w:rFonts w:ascii="Times New Roman" w:hAnsi="Times New Roman"/>
          <w:b w:val="0"/>
          <w:i w:val="0"/>
          <w:sz w:val="24"/>
        </w:rPr>
        <w:t>Мультиметр — один из самых универсальных и при этом наиболее часто ошибочно используемых приборов. При измерении напряжения он подключается параллельно участку цепи, при измерении тока — последовательно, при измерении сопротивления — только на обесточенном участке. Смена режима измерения без понимания электрической схемы приводит либо к ложным результатам, либо к короткому замыканию и выходу прибора из строя.</w:t>
      </w:r>
    </w:p>
    <w:p>
      <w:pPr>
        <w:spacing w:after="120" w:line="276" w:lineRule="auto"/>
      </w:pPr>
      <w:r>
        <w:rPr>
          <w:rFonts w:ascii="Times New Roman" w:hAnsi="Times New Roman"/>
          <w:b w:val="0"/>
          <w:i w:val="0"/>
          <w:sz w:val="24"/>
        </w:rPr>
        <w:t>Перед подключением проверяют положение переключателя, правильность выбранного предела, гнёзда щупов, состояние проводов и отсутствие повреждений. После завершения измерения тока щуп необходимо вернуть из токового гнезда, чтобы следующий пользователь случайно не включил его в измерение напряжения и не замкнул цепь.</w:t>
      </w:r>
    </w:p>
    <w:p>
      <w:pPr>
        <w:spacing w:after="120" w:line="276" w:lineRule="auto"/>
      </w:pPr>
      <w:r>
        <w:rPr>
          <w:rFonts w:ascii="Times New Roman" w:hAnsi="Times New Roman"/>
          <w:b w:val="0"/>
          <w:i w:val="0"/>
          <w:sz w:val="24"/>
        </w:rPr>
        <w:t>С точки зрения методики преподавания удобно отдельно проговорить не только правильные действия, но и характер ошибок: измерение сопротивления на находящейся под напряжением цепи, попытка измерить ток параллельно источнику, использование режима «прозвонка» там, где присутствуют параллельные цепи и результат неинформативен.</w:t>
      </w:r>
    </w:p>
    <w:p>
      <w:bookmarkStart w:id="30" w:name="toc_sec_030"/>
      <w:pPr>
        <w:pStyle w:val="Heading2"/>
        <w:spacing w:after="120" w:line="276" w:lineRule="auto"/>
      </w:pPr>
      <w:r>
        <w:rPr>
          <w:rFonts w:ascii="Times New Roman" w:hAnsi="Times New Roman"/>
          <w:b w:val="0"/>
          <w:i w:val="0"/>
          <w:sz w:val="24"/>
        </w:rPr>
        <w:t>3.4. Магазин сопротивления и его учебное значение</w:t>
      </w:r>
      <w:bookmarkEnd w:id="30"/>
    </w:p>
    <w:p>
      <w:pPr>
        <w:spacing w:after="120" w:line="276" w:lineRule="auto"/>
      </w:pPr>
      <w:r>
        <w:rPr>
          <w:rFonts w:ascii="Times New Roman" w:hAnsi="Times New Roman"/>
          <w:b w:val="0"/>
          <w:i w:val="0"/>
          <w:sz w:val="24"/>
        </w:rPr>
        <w:t>Магазин сопротивления позволяет воспроизводить заданное значение сопротивления и особенно полезен при учебной проверке вторичных приборов, работающих с термосопротивлениями. Он даёт возможность задать контрольные точки без реального нагрева или охлаждения датчика. Однако и здесь есть особенности: необходимо учитывать схему подключения, сопротивление проводов, допустимую мощность и последовательность переключения декад.</w:t>
      </w:r>
    </w:p>
    <w:p>
      <w:pPr>
        <w:spacing w:after="120" w:line="276" w:lineRule="auto"/>
      </w:pPr>
      <w:r>
        <w:rPr>
          <w:rFonts w:ascii="Times New Roman" w:hAnsi="Times New Roman"/>
          <w:b w:val="0"/>
          <w:i w:val="0"/>
          <w:sz w:val="24"/>
        </w:rPr>
        <w:t>Резкое переключение под током может вызвать переходные процессы и ускоренный износ контактов. Поэтому перед подключением схему обесточивают, а изменение сопротивления выполняют по предусмотренной последовательности. Каждое заданное значение и соответствующее показание проверяемого прибора фиксируют в протоколе.</w:t>
      </w:r>
    </w:p>
    <w:p>
      <w:pPr>
        <w:spacing w:after="120" w:line="276" w:lineRule="auto"/>
      </w:pPr>
      <w:r>
        <w:rPr>
          <w:rFonts w:ascii="Times New Roman" w:hAnsi="Times New Roman"/>
          <w:b w:val="0"/>
          <w:i w:val="0"/>
          <w:sz w:val="24"/>
        </w:rPr>
        <w:t>Для обучающегося магазин сопротивления полезен ещё и как средство понимания связи между физической величиной и электрическим эквивалентом. Когда обучающийся видит, что изменение сопротивления вызывает изменение индикации на вторичном приборе, он лучше понимает принципы работы измерительного канала.</w:t>
      </w:r>
    </w:p>
    <w:p>
      <w:pPr>
        <w:keepLines/>
        <w:spacing w:before="160" w:after="40"/>
        <w:jc w:val="center"/>
      </w:pPr>
      <w:r>
        <w:drawing>
          <wp:inline xmlns:a="http://schemas.openxmlformats.org/drawingml/2006/main" xmlns:pic="http://schemas.openxmlformats.org/drawingml/2006/picture">
            <wp:extent cx="5760000" cy="3646080"/>
            <wp:docPr id="11" name="Picture 11"/>
            <wp:cNvGraphicFramePr>
              <a:graphicFrameLocks noChangeAspect="1"/>
            </wp:cNvGraphicFramePr>
            <a:graphic>
              <a:graphicData uri="http://schemas.openxmlformats.org/drawingml/2006/picture">
                <pic:pic>
                  <pic:nvPicPr>
                    <pic:cNvPr id="0" name="figure17_secondary_instrument.png"/>
                    <pic:cNvPicPr/>
                  </pic:nvPicPr>
                  <pic:blipFill>
                    <a:blip r:embed="rId24"/>
                    <a:stretch>
                      <a:fillRect/>
                    </a:stretch>
                  </pic:blipFill>
                  <pic:spPr>
                    <a:xfrm>
                      <a:off x="0" y="0"/>
                      <a:ext cx="5760000" cy="3646080"/>
                    </a:xfrm>
                    <a:prstGeom prst="rect"/>
                  </pic:spPr>
                </pic:pic>
              </a:graphicData>
            </a:graphic>
          </wp:inline>
        </w:drawing>
      </w:r>
    </w:p>
    <w:p>
      <w:pPr>
        <w:keepNext w:val="0"/>
        <w:spacing w:after="160"/>
        <w:jc w:val="center"/>
      </w:pPr>
      <w:r>
        <w:rPr>
          <w:rFonts w:ascii="Times New Roman" w:hAnsi="Times New Roman"/>
          <w:i/>
          <w:sz w:val="21"/>
        </w:rPr>
        <w:t>Рисунок 17. Вторичный прибор: вход, индикация, сигнализация и выходы.</w:t>
      </w:r>
    </w:p>
    <w:p>
      <w:bookmarkStart w:id="31" w:name="toc_sec_031"/>
      <w:pPr>
        <w:pStyle w:val="Heading2"/>
        <w:spacing w:after="120" w:line="276" w:lineRule="auto"/>
      </w:pPr>
      <w:r>
        <w:rPr>
          <w:rFonts w:ascii="Times New Roman" w:hAnsi="Times New Roman"/>
          <w:b w:val="0"/>
          <w:i w:val="0"/>
          <w:sz w:val="24"/>
        </w:rPr>
        <w:t>3.5. Калибратор сигналов и варианты его применения</w:t>
      </w:r>
      <w:bookmarkEnd w:id="31"/>
    </w:p>
    <w:p>
      <w:pPr>
        <w:spacing w:after="120" w:line="276" w:lineRule="auto"/>
      </w:pPr>
      <w:r>
        <w:rPr>
          <w:rFonts w:ascii="Times New Roman" w:hAnsi="Times New Roman"/>
          <w:b w:val="0"/>
          <w:i w:val="0"/>
          <w:sz w:val="24"/>
        </w:rPr>
        <w:t>Калибратор может работать как источник сигнала и как измеритель. Он способен задавать ток, напряжение, сопротивление, температуру и другие сигналы либо принимать их от проверяемого устройства. Перед работой необходимо определить, какую роль калибратор играет в данной схеме: он формирует сигнал или измеряет его? от кого питается токовая петля? какой предел выбран? есть ли активный источник в цепи?</w:t>
      </w:r>
    </w:p>
    <w:p>
      <w:pPr>
        <w:spacing w:after="120" w:line="276" w:lineRule="auto"/>
      </w:pPr>
      <w:r>
        <w:rPr>
          <w:rFonts w:ascii="Times New Roman" w:hAnsi="Times New Roman"/>
          <w:b w:val="0"/>
          <w:i w:val="0"/>
          <w:sz w:val="24"/>
        </w:rPr>
        <w:t>Особое внимание требуется при работе с петлёй 4–20 мА. Возможны разные варианты: калибратор сам питает петлю; внешний источник питания питает передатчик, а калибратор измеряет ток; калибратор имитирует датчик для проверки входа вторичного прибора. Смешение этих схем — типичный источник ошибок. Два активных источника в одной петле могут привести к повреждению оборудования или к появлению ложных результатов.</w:t>
      </w:r>
    </w:p>
    <w:p>
      <w:pPr>
        <w:spacing w:after="120" w:line="276" w:lineRule="auto"/>
      </w:pPr>
      <w:r>
        <w:rPr>
          <w:rFonts w:ascii="Times New Roman" w:hAnsi="Times New Roman"/>
          <w:b w:val="0"/>
          <w:i w:val="0"/>
          <w:sz w:val="24"/>
        </w:rPr>
        <w:t>В учебном материале важно не ограничиваться названием режима. Нужно объяснить физический смысл: когда прибор выдаёт сигнал, а когда принимает; что означает «simуляция»; почему вход контроллера может уже содержать внутреннее питание; зачем проверять полярность и нагрузку до включения.</w:t>
      </w:r>
    </w:p>
    <w:p>
      <w:bookmarkStart w:id="32" w:name="toc_sec_032"/>
      <w:pPr>
        <w:pStyle w:val="Heading2"/>
        <w:spacing w:after="120" w:line="276" w:lineRule="auto"/>
      </w:pPr>
      <w:r>
        <w:rPr>
          <w:rFonts w:ascii="Times New Roman" w:hAnsi="Times New Roman"/>
          <w:b w:val="0"/>
          <w:i w:val="0"/>
          <w:sz w:val="24"/>
        </w:rPr>
        <w:t>3.6. Учебный пример петли 4–20 мА</w:t>
      </w:r>
      <w:bookmarkEnd w:id="32"/>
    </w:p>
    <w:p>
      <w:pPr>
        <w:spacing w:after="120" w:line="276" w:lineRule="auto"/>
      </w:pPr>
      <w:r>
        <w:rPr>
          <w:rFonts w:ascii="Times New Roman" w:hAnsi="Times New Roman"/>
          <w:b w:val="0"/>
          <w:i w:val="0"/>
          <w:sz w:val="24"/>
        </w:rPr>
        <w:t>Рассмотрим преобразователь давления 0–1,6 МПа с выходом 4–20 мА. Формула пересчёта имеет вид: I = 4 + 16 × P / 1,6. Она показывает линейную связь между входным давлением и выходным током. При P = 0,0 МПа ток должен составлять 4,0 мА; при P = 0,8 МПа — 12,0 мА; при P = 1,6 МПа — 20,0 мА. Эта простая формула нужна не только для решения задач, но и для проверки здравого смысла измерений.</w:t>
      </w:r>
    </w:p>
    <w:p>
      <w:pPr>
        <w:spacing w:after="120" w:line="276" w:lineRule="auto"/>
      </w:pPr>
      <w:r>
        <w:rPr>
          <w:rFonts w:ascii="Times New Roman" w:hAnsi="Times New Roman"/>
          <w:b w:val="0"/>
          <w:i w:val="0"/>
          <w:sz w:val="24"/>
        </w:rPr>
        <w:t>Если при половине диапазона измеренный ток существенно отличается от 12 мА, это может говорить о неверной регулировке, ошибке подключения, неисправности датчика или ошибке в самом средстве контроля. Обучающийся должен уметь не только вставить данные в формулу, но и интерпретировать результат: где находится отклонение — в нуле, в диапазоне, в линейности, в воспроизводимости или в самом измерении?</w:t>
      </w:r>
    </w:p>
    <w:p>
      <w:pPr>
        <w:spacing w:after="120" w:line="276" w:lineRule="auto"/>
      </w:pPr>
      <w:r>
        <w:rPr>
          <w:rFonts w:ascii="Times New Roman" w:hAnsi="Times New Roman"/>
          <w:b w:val="0"/>
          <w:i w:val="0"/>
          <w:sz w:val="24"/>
        </w:rPr>
        <w:t>Такие учебные примеры удобно сочетать с реальной схемой на рисунке и с последующим заполнением протокола. Тогда формула перестаёт быть абстрактной математикой и становится частью профессиональной операции.</w:t>
      </w:r>
    </w:p>
    <w:p>
      <w:pPr>
        <w:keepLines/>
        <w:spacing w:before="160" w:after="40"/>
        <w:jc w:val="center"/>
      </w:pPr>
      <w:r>
        <w:drawing>
          <wp:inline xmlns:a="http://schemas.openxmlformats.org/drawingml/2006/main" xmlns:pic="http://schemas.openxmlformats.org/drawingml/2006/picture">
            <wp:extent cx="5760000" cy="2977920"/>
            <wp:docPr id="12" name="Picture 12"/>
            <wp:cNvGraphicFramePr>
              <a:graphicFrameLocks noChangeAspect="1"/>
            </wp:cNvGraphicFramePr>
            <a:graphic>
              <a:graphicData uri="http://schemas.openxmlformats.org/drawingml/2006/picture">
                <pic:pic>
                  <pic:nvPicPr>
                    <pic:cNvPr id="0" name="figure4_loop_4_20.png"/>
                    <pic:cNvPicPr/>
                  </pic:nvPicPr>
                  <pic:blipFill>
                    <a:blip r:embed="rId25"/>
                    <a:stretch>
                      <a:fillRect/>
                    </a:stretch>
                  </pic:blipFill>
                  <pic:spPr>
                    <a:xfrm>
                      <a:off x="0" y="0"/>
                      <a:ext cx="5760000" cy="2977920"/>
                    </a:xfrm>
                    <a:prstGeom prst="rect"/>
                  </pic:spPr>
                </pic:pic>
              </a:graphicData>
            </a:graphic>
          </wp:inline>
        </w:drawing>
      </w:r>
    </w:p>
    <w:p>
      <w:pPr>
        <w:keepNext w:val="0"/>
        <w:spacing w:after="160"/>
        <w:jc w:val="center"/>
      </w:pPr>
      <w:r>
        <w:rPr>
          <w:rFonts w:ascii="Times New Roman" w:hAnsi="Times New Roman"/>
          <w:i/>
          <w:sz w:val="21"/>
        </w:rPr>
        <w:t>Рисунок 4. Типовая петля 4–20 мА при учебной проверке.</w:t>
      </w:r>
    </w:p>
    <w:p>
      <w:bookmarkStart w:id="33" w:name="toc_sec_033"/>
      <w:pPr>
        <w:pStyle w:val="Heading2"/>
        <w:spacing w:after="120" w:line="276" w:lineRule="auto"/>
      </w:pPr>
      <w:r>
        <w:rPr>
          <w:rFonts w:ascii="Times New Roman" w:hAnsi="Times New Roman"/>
          <w:b w:val="0"/>
          <w:i w:val="0"/>
          <w:sz w:val="24"/>
        </w:rPr>
        <w:t>3.7. Проверка схемы до включения</w:t>
      </w:r>
      <w:bookmarkEnd w:id="33"/>
    </w:p>
    <w:p>
      <w:pPr>
        <w:spacing w:after="120" w:line="276" w:lineRule="auto"/>
      </w:pPr>
      <w:r>
        <w:rPr>
          <w:rFonts w:ascii="Times New Roman" w:hAnsi="Times New Roman"/>
          <w:b w:val="0"/>
          <w:i w:val="0"/>
          <w:sz w:val="24"/>
        </w:rPr>
        <w:t>Проверка схемы до подачи энергии — обязательный этап, который часто воспринимают как формальность. На самом деле именно он предотвращает короткие замыкания, перегрузку входов, неправильную полярность и необратимые повреждения прибора. Проверяют соответствие собранной схемы документу, назначение клемм, полярность, заземление, исходные значения источников, пределы мультиметра, режим калибратора, положение вентилей и наличие аварийного снятия питания.</w:t>
      </w:r>
    </w:p>
    <w:p>
      <w:pPr>
        <w:spacing w:after="120" w:line="276" w:lineRule="auto"/>
      </w:pPr>
      <w:r>
        <w:rPr>
          <w:rFonts w:ascii="Times New Roman" w:hAnsi="Times New Roman"/>
          <w:b w:val="0"/>
          <w:i w:val="0"/>
          <w:sz w:val="24"/>
        </w:rPr>
        <w:t>Во многих процедурах полезна независимая проверка вторым лицом. Один специалист собирает схему, другой проверяет её по документу. Это не недоверие, а способ снижения вероятности ошибки. Даже опытный работник может не заметить переставленные щупы или неправильное положение переключателя, если он торопится.</w:t>
      </w:r>
    </w:p>
    <w:p>
      <w:pPr>
        <w:spacing w:after="120" w:line="276" w:lineRule="auto"/>
      </w:pPr>
      <w:r>
        <w:rPr>
          <w:rFonts w:ascii="Times New Roman" w:hAnsi="Times New Roman"/>
          <w:b w:val="0"/>
          <w:i w:val="0"/>
          <w:sz w:val="24"/>
        </w:rPr>
        <w:t>В учебной аудитории этот этап хорошо подходит для разбора типовых ошибок на стенде: перепутаны полярности, амперметр включён параллельно, калибратор оставлен в режиме источника при уже питаемой петле, вентиль открыт в неверной последовательности. Разбор таких примеров закрепляет культуру проверки перед включением.</w:t>
      </w:r>
    </w:p>
    <w:p>
      <w:bookmarkStart w:id="34" w:name="toc_sec_034"/>
      <w:pPr>
        <w:pStyle w:val="Heading2"/>
        <w:spacing w:after="120" w:line="276" w:lineRule="auto"/>
      </w:pPr>
      <w:r>
        <w:rPr>
          <w:rFonts w:ascii="Times New Roman" w:hAnsi="Times New Roman"/>
          <w:b w:val="0"/>
          <w:i w:val="0"/>
          <w:sz w:val="24"/>
        </w:rPr>
        <w:t>Контрольные точки для петли 4–20 мА</w:t>
      </w:r>
      <w:bookmarkEnd w:id="34"/>
    </w:p>
    <w:tbl>
      <w:tblPr>
        <w:tblStyle w:val="TableGrid"/>
        <w:tblW w:type="auto" w:w="0"/>
        <w:jc w:val="center"/>
        <w:tblLook w:firstColumn="1" w:firstRow="1" w:lastColumn="0" w:lastRow="0" w:noHBand="0" w:noVBand="1" w:val="04A0"/>
      </w:tblPr>
      <w:tblGrid>
        <w:gridCol w:w="3230"/>
        <w:gridCol w:w="3230"/>
        <w:gridCol w:w="3230"/>
      </w:tblGrid>
      <w:tr>
        <w:tc>
          <w:tcPr>
            <w:tcW w:type="dxa" w:w="2835"/>
            <w:vAlign w:val="center"/>
          </w:tcPr>
          <w:p>
            <w:r>
              <w:rPr>
                <w:rFonts w:ascii="Times New Roman" w:hAnsi="Times New Roman"/>
                <w:b/>
                <w:sz w:val="22"/>
              </w:rPr>
              <w:t>Давление, МПа</w:t>
            </w:r>
          </w:p>
        </w:tc>
        <w:tc>
          <w:tcPr>
            <w:tcW w:type="dxa" w:w="3402"/>
            <w:vAlign w:val="center"/>
          </w:tcPr>
          <w:p>
            <w:r>
              <w:rPr>
                <w:rFonts w:ascii="Times New Roman" w:hAnsi="Times New Roman"/>
                <w:b/>
                <w:sz w:val="22"/>
              </w:rPr>
              <w:t>Процент диапазона</w:t>
            </w:r>
          </w:p>
        </w:tc>
        <w:tc>
          <w:tcPr>
            <w:tcW w:type="dxa" w:w="3402"/>
            <w:vAlign w:val="center"/>
          </w:tcPr>
          <w:p>
            <w:r>
              <w:rPr>
                <w:rFonts w:ascii="Times New Roman" w:hAnsi="Times New Roman"/>
                <w:b/>
                <w:sz w:val="22"/>
              </w:rPr>
              <w:t>Расчётный ток, мА</w:t>
            </w:r>
          </w:p>
        </w:tc>
      </w:tr>
      <w:tr>
        <w:tc>
          <w:tcPr>
            <w:tcW w:type="dxa" w:w="2835"/>
          </w:tcPr>
          <w:p>
            <w:r>
              <w:rPr>
                <w:rFonts w:ascii="Times New Roman" w:hAnsi="Times New Roman"/>
                <w:sz w:val="22"/>
              </w:rPr>
              <w:t>0,0</w:t>
            </w:r>
          </w:p>
        </w:tc>
        <w:tc>
          <w:tcPr>
            <w:tcW w:type="dxa" w:w="3402"/>
          </w:tcPr>
          <w:p>
            <w:r>
              <w:rPr>
                <w:rFonts w:ascii="Times New Roman" w:hAnsi="Times New Roman"/>
                <w:sz w:val="22"/>
              </w:rPr>
              <w:t>0 %</w:t>
            </w:r>
          </w:p>
        </w:tc>
        <w:tc>
          <w:tcPr>
            <w:tcW w:type="dxa" w:w="3402"/>
          </w:tcPr>
          <w:p>
            <w:r>
              <w:rPr>
                <w:rFonts w:ascii="Times New Roman" w:hAnsi="Times New Roman"/>
                <w:sz w:val="22"/>
              </w:rPr>
              <w:t>4,000</w:t>
            </w:r>
          </w:p>
        </w:tc>
      </w:tr>
      <w:tr>
        <w:tc>
          <w:tcPr>
            <w:tcW w:type="dxa" w:w="2835"/>
          </w:tcPr>
          <w:p>
            <w:r>
              <w:rPr>
                <w:rFonts w:ascii="Times New Roman" w:hAnsi="Times New Roman"/>
                <w:sz w:val="22"/>
              </w:rPr>
              <w:t>0,4</w:t>
            </w:r>
          </w:p>
        </w:tc>
        <w:tc>
          <w:tcPr>
            <w:tcW w:type="dxa" w:w="3402"/>
          </w:tcPr>
          <w:p>
            <w:r>
              <w:rPr>
                <w:rFonts w:ascii="Times New Roman" w:hAnsi="Times New Roman"/>
                <w:sz w:val="22"/>
              </w:rPr>
              <w:t>25 %</w:t>
            </w:r>
          </w:p>
        </w:tc>
        <w:tc>
          <w:tcPr>
            <w:tcW w:type="dxa" w:w="3402"/>
          </w:tcPr>
          <w:p>
            <w:r>
              <w:rPr>
                <w:rFonts w:ascii="Times New Roman" w:hAnsi="Times New Roman"/>
                <w:sz w:val="22"/>
              </w:rPr>
              <w:t>8,000</w:t>
            </w:r>
          </w:p>
        </w:tc>
      </w:tr>
      <w:tr>
        <w:tc>
          <w:tcPr>
            <w:tcW w:type="dxa" w:w="2835"/>
          </w:tcPr>
          <w:p>
            <w:r>
              <w:rPr>
                <w:rFonts w:ascii="Times New Roman" w:hAnsi="Times New Roman"/>
                <w:sz w:val="22"/>
              </w:rPr>
              <w:t>0,8</w:t>
            </w:r>
          </w:p>
        </w:tc>
        <w:tc>
          <w:tcPr>
            <w:tcW w:type="dxa" w:w="3402"/>
          </w:tcPr>
          <w:p>
            <w:r>
              <w:rPr>
                <w:rFonts w:ascii="Times New Roman" w:hAnsi="Times New Roman"/>
                <w:sz w:val="22"/>
              </w:rPr>
              <w:t>50 %</w:t>
            </w:r>
          </w:p>
        </w:tc>
        <w:tc>
          <w:tcPr>
            <w:tcW w:type="dxa" w:w="3402"/>
          </w:tcPr>
          <w:p>
            <w:r>
              <w:rPr>
                <w:rFonts w:ascii="Times New Roman" w:hAnsi="Times New Roman"/>
                <w:sz w:val="22"/>
              </w:rPr>
              <w:t>12,000</w:t>
            </w:r>
          </w:p>
        </w:tc>
      </w:tr>
      <w:tr>
        <w:tc>
          <w:tcPr>
            <w:tcW w:type="dxa" w:w="2835"/>
          </w:tcPr>
          <w:p>
            <w:r>
              <w:rPr>
                <w:rFonts w:ascii="Times New Roman" w:hAnsi="Times New Roman"/>
                <w:sz w:val="22"/>
              </w:rPr>
              <w:t>1,2</w:t>
            </w:r>
          </w:p>
        </w:tc>
        <w:tc>
          <w:tcPr>
            <w:tcW w:type="dxa" w:w="3402"/>
          </w:tcPr>
          <w:p>
            <w:r>
              <w:rPr>
                <w:rFonts w:ascii="Times New Roman" w:hAnsi="Times New Roman"/>
                <w:sz w:val="22"/>
              </w:rPr>
              <w:t>75 %</w:t>
            </w:r>
          </w:p>
        </w:tc>
        <w:tc>
          <w:tcPr>
            <w:tcW w:type="dxa" w:w="3402"/>
          </w:tcPr>
          <w:p>
            <w:r>
              <w:rPr>
                <w:rFonts w:ascii="Times New Roman" w:hAnsi="Times New Roman"/>
                <w:sz w:val="22"/>
              </w:rPr>
              <w:t>16,000</w:t>
            </w:r>
          </w:p>
        </w:tc>
      </w:tr>
      <w:tr>
        <w:tc>
          <w:tcPr>
            <w:tcW w:type="dxa" w:w="2835"/>
          </w:tcPr>
          <w:p>
            <w:r>
              <w:rPr>
                <w:rFonts w:ascii="Times New Roman" w:hAnsi="Times New Roman"/>
                <w:sz w:val="22"/>
              </w:rPr>
              <w:t>1,6</w:t>
            </w:r>
          </w:p>
        </w:tc>
        <w:tc>
          <w:tcPr>
            <w:tcW w:type="dxa" w:w="3402"/>
          </w:tcPr>
          <w:p>
            <w:r>
              <w:rPr>
                <w:rFonts w:ascii="Times New Roman" w:hAnsi="Times New Roman"/>
                <w:sz w:val="22"/>
              </w:rPr>
              <w:t>100 %</w:t>
            </w:r>
          </w:p>
        </w:tc>
        <w:tc>
          <w:tcPr>
            <w:tcW w:type="dxa" w:w="3402"/>
          </w:tcPr>
          <w:p>
            <w:r>
              <w:rPr>
                <w:rFonts w:ascii="Times New Roman" w:hAnsi="Times New Roman"/>
                <w:sz w:val="22"/>
              </w:rPr>
              <w:t>20,000</w:t>
            </w:r>
          </w:p>
        </w:tc>
      </w:tr>
    </w:tbl>
    <w:p/>
    <w:p>
      <w:bookmarkStart w:id="35" w:name="toc_sec_035"/>
      <w:pPr>
        <w:pStyle w:val="Heading2"/>
        <w:spacing w:after="120" w:line="276" w:lineRule="auto"/>
      </w:pPr>
      <w:r>
        <w:rPr>
          <w:rFonts w:ascii="Times New Roman" w:hAnsi="Times New Roman"/>
          <w:b w:val="0"/>
          <w:i w:val="0"/>
          <w:sz w:val="24"/>
        </w:rPr>
        <w:t>Вопросы для закрепления</w:t>
      </w:r>
      <w:bookmarkEnd w:id="35"/>
    </w:p>
    <w:p>
      <w:pPr>
        <w:pStyle w:val="ListNumber"/>
        <w:spacing w:line="276" w:lineRule="auto"/>
      </w:pPr>
      <w:r>
        <w:rPr>
          <w:rFonts w:ascii="Times New Roman" w:hAnsi="Times New Roman"/>
          <w:sz w:val="24"/>
        </w:rPr>
        <w:t>Почему средство контроля нельзя выбирать только по диапазону?</w:t>
      </w:r>
    </w:p>
    <w:p>
      <w:pPr>
        <w:pStyle w:val="ListNumber"/>
        <w:spacing w:line="276" w:lineRule="auto"/>
      </w:pPr>
      <w:r>
        <w:rPr>
          <w:rFonts w:ascii="Times New Roman" w:hAnsi="Times New Roman"/>
          <w:sz w:val="24"/>
        </w:rPr>
        <w:t>Чем различается включение амперметра и вольтметра?</w:t>
      </w:r>
    </w:p>
    <w:p>
      <w:pPr>
        <w:pStyle w:val="ListNumber"/>
        <w:spacing w:line="276" w:lineRule="auto"/>
      </w:pPr>
      <w:r>
        <w:rPr>
          <w:rFonts w:ascii="Times New Roman" w:hAnsi="Times New Roman"/>
          <w:sz w:val="24"/>
        </w:rPr>
        <w:t>Зачем сопротивление измеряют только на обесточенной цепи?</w:t>
      </w:r>
    </w:p>
    <w:p>
      <w:pPr>
        <w:pStyle w:val="ListNumber"/>
        <w:spacing w:line="276" w:lineRule="auto"/>
      </w:pPr>
      <w:r>
        <w:rPr>
          <w:rFonts w:ascii="Times New Roman" w:hAnsi="Times New Roman"/>
          <w:sz w:val="24"/>
        </w:rPr>
        <w:t>Какие варианты питания петли 4–20 мА возможны?</w:t>
      </w:r>
    </w:p>
    <w:p>
      <w:pPr>
        <w:pStyle w:val="ListNumber"/>
        <w:spacing w:line="276" w:lineRule="auto"/>
      </w:pPr>
      <w:r>
        <w:rPr>
          <w:rFonts w:ascii="Times New Roman" w:hAnsi="Times New Roman"/>
          <w:sz w:val="24"/>
        </w:rPr>
        <w:t>Какие проверки выполняют до первой подачи питания на собранную схему?</w:t>
      </w:r>
    </w:p>
    <w:p>
      <w:bookmarkStart w:id="36" w:name="toc_sec_036"/>
      <w:pPr>
        <w:pStyle w:val="Heading2"/>
        <w:spacing w:after="120" w:line="276" w:lineRule="auto"/>
      </w:pPr>
      <w:r>
        <w:rPr>
          <w:rFonts w:ascii="Times New Roman" w:hAnsi="Times New Roman"/>
          <w:b w:val="0"/>
          <w:i w:val="0"/>
          <w:sz w:val="24"/>
        </w:rPr>
        <w:t>Мини-задание</w:t>
      </w:r>
      <w:bookmarkEnd w:id="36"/>
    </w:p>
    <w:p>
      <w:pPr>
        <w:spacing w:after="120" w:line="276" w:lineRule="auto"/>
      </w:pPr>
      <w:r>
        <w:rPr>
          <w:rFonts w:ascii="Times New Roman" w:hAnsi="Times New Roman"/>
          <w:b w:val="0"/>
          <w:i w:val="0"/>
          <w:sz w:val="24"/>
        </w:rPr>
        <w:t>Составьте краткий алгоритм действий по теме занятия применительно к одному из объектов: преобразователь давления, термопреобразователь, уровнемер, вторичный прибор или газоанализатор. Отдельно укажите документы, риски, контрольные точки и вид итоговой записи.</w:t>
      </w:r>
    </w:p>
    <w:p>
      <w:r>
        <w:br w:type="page"/>
      </w:r>
    </w:p>
    <w:p>
      <w:bookmarkStart w:id="37" w:name="toc_sec_037"/>
      <w:pPr>
        <w:pStyle w:val="Heading1"/>
        <w:spacing w:after="120" w:line="276" w:lineRule="auto"/>
      </w:pPr>
      <w:r>
        <w:rPr>
          <w:rFonts w:ascii="Times New Roman" w:hAnsi="Times New Roman"/>
          <w:b w:val="0"/>
          <w:i w:val="0"/>
          <w:sz w:val="24"/>
        </w:rPr>
        <w:t>Занятие 4. Проведение испытаний и оценка результатов</w:t>
      </w:r>
      <w:bookmarkEnd w:id="37"/>
    </w:p>
    <w:p>
      <w:pPr>
        <w:spacing w:after="120" w:line="276" w:lineRule="auto"/>
      </w:pPr>
      <w:r>
        <w:rPr>
          <w:rFonts w:ascii="Times New Roman" w:hAnsi="Times New Roman"/>
          <w:b/>
          <w:i w:val="0"/>
          <w:sz w:val="24"/>
        </w:rPr>
        <w:t>Продолжительность: 2 академических часа</w:t>
      </w:r>
    </w:p>
    <w:p>
      <w:pPr>
        <w:spacing w:after="120" w:line="276" w:lineRule="auto"/>
      </w:pPr>
      <w:r>
        <w:rPr>
          <w:rFonts w:ascii="Times New Roman" w:hAnsi="Times New Roman"/>
          <w:b w:val="0"/>
          <w:i w:val="0"/>
          <w:sz w:val="24"/>
        </w:rPr>
        <w:t>Цель и ожидаемый результат: После занятия обучающийся должен уметь выполнять испытания по установленной последовательности, корректно снимать первичные данные, оценивать отклонения и оформлять техническое заключение без подмены официальной поверки.</w:t>
      </w:r>
    </w:p>
    <w:p>
      <w:bookmarkStart w:id="38" w:name="toc_sec_038"/>
      <w:pPr>
        <w:pStyle w:val="Heading2"/>
        <w:spacing w:after="120" w:line="276" w:lineRule="auto"/>
      </w:pPr>
      <w:r>
        <w:rPr>
          <w:rFonts w:ascii="Times New Roman" w:hAnsi="Times New Roman"/>
          <w:b w:val="0"/>
          <w:i w:val="0"/>
          <w:sz w:val="24"/>
        </w:rPr>
        <w:t>4.1. Программа испытаний и её значение</w:t>
      </w:r>
      <w:bookmarkEnd w:id="38"/>
    </w:p>
    <w:p>
      <w:pPr>
        <w:spacing w:after="120" w:line="276" w:lineRule="auto"/>
      </w:pPr>
      <w:r>
        <w:rPr>
          <w:rFonts w:ascii="Times New Roman" w:hAnsi="Times New Roman"/>
          <w:b w:val="0"/>
          <w:i w:val="0"/>
          <w:sz w:val="24"/>
        </w:rPr>
        <w:t>Программа испытаний определяет не только перечень операций, но и логику всей проверки: цель, объект, условия, оборудование, последовательность, критерии, объём регистрации и порядок действий при отказе. Для уникального прибора значение программы особенно велико, потому что привычная методика серийного аналога может не учитывать особенности конструкции, нестандартные режимы или дополнительные функции.</w:t>
      </w:r>
    </w:p>
    <w:p>
      <w:pPr>
        <w:spacing w:after="120" w:line="276" w:lineRule="auto"/>
      </w:pPr>
      <w:r>
        <w:rPr>
          <w:rFonts w:ascii="Times New Roman" w:hAnsi="Times New Roman"/>
          <w:b w:val="0"/>
          <w:i w:val="0"/>
          <w:sz w:val="24"/>
        </w:rPr>
        <w:t>Если в ходе проверки возникает желание «пропустить неудобную точку», заменить эталон менее точным прибором или изменить критерий после получения результата, это означает выход за пределы программы. Такие изменения недопустимы без согласования. В противном случае протокол перестаёт отражать реально согласованную проверку.</w:t>
      </w:r>
    </w:p>
    <w:p>
      <w:pPr>
        <w:spacing w:after="120" w:line="276" w:lineRule="auto"/>
      </w:pPr>
      <w:r>
        <w:rPr>
          <w:rFonts w:ascii="Times New Roman" w:hAnsi="Times New Roman"/>
          <w:b w:val="0"/>
          <w:i w:val="0"/>
          <w:sz w:val="24"/>
        </w:rPr>
        <w:t>Преподавателю важно показать, что программа испытаний — это механизм защиты объективности результата. Она не даёт адаптировать проверку под желаемый вывод и тем самым обеспечивает доверие к заключению.</w:t>
      </w:r>
    </w:p>
    <w:p>
      <w:bookmarkStart w:id="39" w:name="toc_sec_039"/>
      <w:pPr>
        <w:pStyle w:val="Heading2"/>
        <w:spacing w:after="120" w:line="276" w:lineRule="auto"/>
      </w:pPr>
      <w:r>
        <w:rPr>
          <w:rFonts w:ascii="Times New Roman" w:hAnsi="Times New Roman"/>
          <w:b w:val="0"/>
          <w:i w:val="0"/>
          <w:sz w:val="24"/>
        </w:rPr>
        <w:t>4.2. Последовательность выполнения испытаний</w:t>
      </w:r>
      <w:bookmarkEnd w:id="39"/>
    </w:p>
    <w:p>
      <w:pPr>
        <w:spacing w:after="120" w:line="276" w:lineRule="auto"/>
      </w:pPr>
      <w:r>
        <w:rPr>
          <w:rFonts w:ascii="Times New Roman" w:hAnsi="Times New Roman"/>
          <w:b w:val="0"/>
          <w:i w:val="0"/>
          <w:sz w:val="24"/>
        </w:rPr>
        <w:t>Общий алгоритм испытаний обычно включает подтверждение идентификации, фиксацию условий, внешний осмотр, проверку комплектности, сборку и проверку схемы, подачу питания и выдержку на прогрев, опробование функций, измерения по контрольным точкам, функциональные и защитные проверки, снятие воздействий и оформление результата. Каждая операция готовит следующую и не может быть произвольно переставлена.</w:t>
      </w:r>
    </w:p>
    <w:p>
      <w:pPr>
        <w:spacing w:after="120" w:line="276" w:lineRule="auto"/>
      </w:pPr>
      <w:r>
        <w:rPr>
          <w:rFonts w:ascii="Times New Roman" w:hAnsi="Times New Roman"/>
          <w:b w:val="0"/>
          <w:i w:val="0"/>
          <w:sz w:val="24"/>
        </w:rPr>
        <w:t>Последовательность важна ещё и потому, что некоторые действия изменяют объект. Если сначала выполнить регулировку, а затем снять «исходные» данные, информация о первоначальном состоянии будет утеряна. Если сразу перейти к измерительным точкам, пропустив прогрев, полученные значения окажутся нестабильными. Если не выполнить внешний осмотр и проверку комплектности, можно сделать хорошие измерения на приборе, у которого отсутствует важная функциональная часть.</w:t>
      </w:r>
    </w:p>
    <w:p>
      <w:pPr>
        <w:spacing w:after="120" w:line="276" w:lineRule="auto"/>
      </w:pPr>
      <w:r>
        <w:rPr>
          <w:rFonts w:ascii="Times New Roman" w:hAnsi="Times New Roman"/>
          <w:b w:val="0"/>
          <w:i w:val="0"/>
          <w:sz w:val="24"/>
        </w:rPr>
        <w:t>Для обучения удобно использовать алгоритм как пошаговую карту с обязательной отметкой выполнения. Это развивает дисциплину и позволяет обучающемуся видеть причинно-следственные связи между этапами.</w:t>
      </w:r>
    </w:p>
    <w:p>
      <w:bookmarkStart w:id="40" w:name="toc_sec_040"/>
      <w:pPr>
        <w:pStyle w:val="Heading2"/>
        <w:spacing w:after="120" w:line="276" w:lineRule="auto"/>
      </w:pPr>
      <w:r>
        <w:rPr>
          <w:rFonts w:ascii="Times New Roman" w:hAnsi="Times New Roman"/>
          <w:b w:val="0"/>
          <w:i w:val="0"/>
          <w:sz w:val="24"/>
        </w:rPr>
        <w:t>4.3. Условия испытаний и прогрев</w:t>
      </w:r>
      <w:bookmarkEnd w:id="40"/>
    </w:p>
    <w:p>
      <w:pPr>
        <w:spacing w:after="120" w:line="276" w:lineRule="auto"/>
      </w:pPr>
      <w:r>
        <w:rPr>
          <w:rFonts w:ascii="Times New Roman" w:hAnsi="Times New Roman"/>
          <w:b w:val="0"/>
          <w:i w:val="0"/>
          <w:sz w:val="24"/>
        </w:rPr>
        <w:t>Температура, влажность, качество питания, стабильность источника воздействия и время выдержки напрямую влияют на достоверность результатов. Прибор и эталоны должны находиться в условиях, предусмотренных документами. Если условие выходит за допустимый предел, измерение не начинают или фиксируют невозможность получения действительного результата.</w:t>
      </w:r>
    </w:p>
    <w:p>
      <w:pPr>
        <w:spacing w:after="120" w:line="276" w:lineRule="auto"/>
      </w:pPr>
      <w:r>
        <w:rPr>
          <w:rFonts w:ascii="Times New Roman" w:hAnsi="Times New Roman"/>
          <w:b w:val="0"/>
          <w:i w:val="0"/>
          <w:sz w:val="24"/>
        </w:rPr>
        <w:t>Прогрев нужен не всегда одинаковый. Для одного прибора достаточно нескольких минут, для другого требуется значительное время стабилизации. Ошибка «включили — значит можно измерять» характерна для учебной практики. Важно объяснять, что время прогрева — это не потеря времени, а часть методики, обеспечивающая устойчивый режим работы.</w:t>
      </w:r>
    </w:p>
    <w:p>
      <w:pPr>
        <w:spacing w:after="120" w:line="276" w:lineRule="auto"/>
      </w:pPr>
      <w:r>
        <w:rPr>
          <w:rFonts w:ascii="Times New Roman" w:hAnsi="Times New Roman"/>
          <w:b w:val="0"/>
          <w:i w:val="0"/>
          <w:sz w:val="24"/>
        </w:rPr>
        <w:t>Условия испытаний обязательно отражают в протоколе. Без этой записи последующий анализ затрудняется: невозможно понять, были ли отличия вызваны состоянием прибора или влиянием окружающей среды.</w:t>
      </w:r>
    </w:p>
    <w:p>
      <w:bookmarkStart w:id="41" w:name="toc_sec_041"/>
      <w:pPr>
        <w:pStyle w:val="Heading2"/>
        <w:spacing w:after="120" w:line="276" w:lineRule="auto"/>
      </w:pPr>
      <w:r>
        <w:rPr>
          <w:rFonts w:ascii="Times New Roman" w:hAnsi="Times New Roman"/>
          <w:b w:val="0"/>
          <w:i w:val="0"/>
          <w:sz w:val="24"/>
        </w:rPr>
        <w:t>4.4. Снятие первичных данных до регулировки</w:t>
      </w:r>
      <w:bookmarkEnd w:id="41"/>
    </w:p>
    <w:p>
      <w:pPr>
        <w:spacing w:after="120" w:line="276" w:lineRule="auto"/>
      </w:pPr>
      <w:r>
        <w:rPr>
          <w:rFonts w:ascii="Times New Roman" w:hAnsi="Times New Roman"/>
          <w:b w:val="0"/>
          <w:i w:val="0"/>
          <w:sz w:val="24"/>
        </w:rPr>
        <w:t>Первичные данные показывают фактическое состояние прибора после эксплуатации, ремонта или хранения. Их снимают до любой подстройки нуля, диапазона или параметров конфигурации. Именно эти данные позволяют оценить исходный дефект и эффективность последующих действий.</w:t>
      </w:r>
    </w:p>
    <w:p>
      <w:pPr>
        <w:spacing w:after="120" w:line="276" w:lineRule="auto"/>
      </w:pPr>
      <w:r>
        <w:rPr>
          <w:rFonts w:ascii="Times New Roman" w:hAnsi="Times New Roman"/>
          <w:b w:val="0"/>
          <w:i w:val="0"/>
          <w:sz w:val="24"/>
        </w:rPr>
        <w:t>Запись должна быть достаточной для повторного анализа: заданное значение, фактическое показание, направление подхода к точке, единица измерения, при необходимости время и сопутствующие наблюдения. Если запись исправляют, исходное значение не стирают, а сохраняют читаемым с пояснением причины изменения.</w:t>
      </w:r>
    </w:p>
    <w:p>
      <w:pPr>
        <w:spacing w:after="120" w:line="276" w:lineRule="auto"/>
      </w:pPr>
      <w:r>
        <w:rPr>
          <w:rFonts w:ascii="Times New Roman" w:hAnsi="Times New Roman"/>
          <w:b w:val="0"/>
          <w:i w:val="0"/>
          <w:sz w:val="24"/>
        </w:rPr>
        <w:t>Обучающийся должен усвоить важный принцип: красивый протокол без истории изменений менее ценен, чем аккуратно оформленный документ, в котором виден реальный ход работы. Прослеживаемость важнее внешней «идеальности».</w:t>
      </w:r>
    </w:p>
    <w:p>
      <w:bookmarkStart w:id="42" w:name="toc_sec_042"/>
      <w:pPr>
        <w:pStyle w:val="Heading2"/>
        <w:spacing w:after="120" w:line="276" w:lineRule="auto"/>
      </w:pPr>
      <w:r>
        <w:rPr>
          <w:rFonts w:ascii="Times New Roman" w:hAnsi="Times New Roman"/>
          <w:b w:val="0"/>
          <w:i w:val="0"/>
          <w:sz w:val="24"/>
        </w:rPr>
        <w:t>4.5. Оценка статической характеристики и отклонений</w:t>
      </w:r>
      <w:bookmarkEnd w:id="42"/>
    </w:p>
    <w:p>
      <w:pPr>
        <w:spacing w:after="120" w:line="276" w:lineRule="auto"/>
      </w:pPr>
      <w:r>
        <w:rPr>
          <w:rFonts w:ascii="Times New Roman" w:hAnsi="Times New Roman"/>
          <w:b w:val="0"/>
          <w:i w:val="0"/>
          <w:sz w:val="24"/>
        </w:rPr>
        <w:t>В статическом режиме задают значение входа, выдерживают до стабилизации, снимают показание и переходят к следующей точке. Если предусмотрено, точки проходят прямым и обратным ходом. По результатам оценивают отклонение, повторяемость, вариацию, гистерезис и соответствие учебному или установленному критерию.</w:t>
      </w:r>
    </w:p>
    <w:p>
      <w:pPr>
        <w:spacing w:after="120" w:line="276" w:lineRule="auto"/>
      </w:pPr>
      <w:r>
        <w:rPr>
          <w:rFonts w:ascii="Times New Roman" w:hAnsi="Times New Roman"/>
          <w:b w:val="0"/>
          <w:i w:val="0"/>
          <w:sz w:val="24"/>
        </w:rPr>
        <w:t>Например, для преобразователя 0–1,6 МПа с выходом 4–20 мА можно использовать учебный критерий |ΔI| ≤ 0,08 мА. Если расчётное значение в точке 1,2 МПа равно 16,000 мА, а измеренное — 15,944 мА, отклонение составляет −0,056 мА и по данной точке критерий выполняется. Однако окончательное решение нельзя делать по одной точке: требуется проверить все контрольные точки, а также функциональные проверки.</w:t>
      </w:r>
    </w:p>
    <w:p>
      <w:pPr>
        <w:spacing w:after="120" w:line="276" w:lineRule="auto"/>
      </w:pPr>
      <w:r>
        <w:rPr>
          <w:rFonts w:ascii="Times New Roman" w:hAnsi="Times New Roman"/>
          <w:b w:val="0"/>
          <w:i w:val="0"/>
          <w:sz w:val="24"/>
        </w:rPr>
        <w:t>В учебной практике важно не только вычислить отклонение, но и учить интерпретации. Систематическое смещение всех точек указывает на одну проблему, разброс данных — на другую, а несоответствие только при обратном ходе может говорить о вариации или механической проблеме.</w:t>
      </w:r>
    </w:p>
    <w:p>
      <w:pPr>
        <w:keepLines/>
        <w:spacing w:before="160" w:after="40"/>
        <w:jc w:val="center"/>
      </w:pPr>
      <w:r>
        <w:drawing>
          <wp:inline xmlns:a="http://schemas.openxmlformats.org/drawingml/2006/main" xmlns:pic="http://schemas.openxmlformats.org/drawingml/2006/picture">
            <wp:extent cx="5760000" cy="3646080"/>
            <wp:docPr id="13" name="Picture 13"/>
            <wp:cNvGraphicFramePr>
              <a:graphicFrameLocks noChangeAspect="1"/>
            </wp:cNvGraphicFramePr>
            <a:graphic>
              <a:graphicData uri="http://schemas.openxmlformats.org/drawingml/2006/picture">
                <pic:pic>
                  <pic:nvPicPr>
                    <pic:cNvPr id="0" name="figure8_static_characteristic.png"/>
                    <pic:cNvPicPr/>
                  </pic:nvPicPr>
                  <pic:blipFill>
                    <a:blip r:embed="rId26"/>
                    <a:stretch>
                      <a:fillRect/>
                    </a:stretch>
                  </pic:blipFill>
                  <pic:spPr>
                    <a:xfrm>
                      <a:off x="0" y="0"/>
                      <a:ext cx="5760000" cy="3646080"/>
                    </a:xfrm>
                    <a:prstGeom prst="rect"/>
                  </pic:spPr>
                </pic:pic>
              </a:graphicData>
            </a:graphic>
          </wp:inline>
        </w:drawing>
      </w:r>
    </w:p>
    <w:p>
      <w:pPr>
        <w:keepNext w:val="0"/>
        <w:spacing w:after="160"/>
        <w:jc w:val="center"/>
      </w:pPr>
      <w:r>
        <w:rPr>
          <w:rFonts w:ascii="Times New Roman" w:hAnsi="Times New Roman"/>
          <w:i/>
          <w:sz w:val="21"/>
        </w:rPr>
        <w:t>Рисунок 8. Пример статической характеристики преобразователя 0–1,6 МПа / 4–20 мА.</w:t>
      </w:r>
    </w:p>
    <w:p>
      <w:bookmarkStart w:id="43" w:name="toc_sec_043"/>
      <w:pPr>
        <w:pStyle w:val="Heading2"/>
        <w:spacing w:after="120" w:line="276" w:lineRule="auto"/>
      </w:pPr>
      <w:r>
        <w:rPr>
          <w:rFonts w:ascii="Times New Roman" w:hAnsi="Times New Roman"/>
          <w:b w:val="0"/>
          <w:i w:val="0"/>
          <w:sz w:val="24"/>
        </w:rPr>
        <w:t>4.6. Функциональные, защитные и электрические проверки</w:t>
      </w:r>
      <w:bookmarkEnd w:id="43"/>
    </w:p>
    <w:p>
      <w:pPr>
        <w:spacing w:after="120" w:line="276" w:lineRule="auto"/>
      </w:pPr>
      <w:r>
        <w:rPr>
          <w:rFonts w:ascii="Times New Roman" w:hAnsi="Times New Roman"/>
          <w:b w:val="0"/>
          <w:i w:val="0"/>
          <w:sz w:val="24"/>
        </w:rPr>
        <w:t>Даже если основной измерительный канал показывает хорошие результаты, это не означает полной исправности прибора. Необходимо проверить те функции, которые предусмотрены программой: индикацию, органы управления, сигнализацию, выходные реле, блокировки, интерфейсы связи, диагностику, поведение при аварийных режимах и действия после восстановления питания.</w:t>
      </w:r>
    </w:p>
    <w:p>
      <w:pPr>
        <w:spacing w:after="120" w:line="276" w:lineRule="auto"/>
      </w:pPr>
      <w:r>
        <w:rPr>
          <w:rFonts w:ascii="Times New Roman" w:hAnsi="Times New Roman"/>
          <w:b w:val="0"/>
          <w:i w:val="0"/>
          <w:sz w:val="24"/>
        </w:rPr>
        <w:t>Защитную функцию проверяют безопасным способом. Если реальное воздействие опасно или недопустимо, используют имитацию, предусмотренную документами. Факт имитации обязательно указывают в протоколе. Электрические проверки — сопротивление изоляции, электрическая прочность, защитное заземление — выполняют только предназначенным оборудованием и по установленной схеме, с учётом отключения чувствительных модулей там, где это требуется.</w:t>
      </w:r>
    </w:p>
    <w:p>
      <w:pPr>
        <w:spacing w:after="120" w:line="276" w:lineRule="auto"/>
      </w:pPr>
      <w:r>
        <w:rPr>
          <w:rFonts w:ascii="Times New Roman" w:hAnsi="Times New Roman"/>
          <w:b w:val="0"/>
          <w:i w:val="0"/>
          <w:sz w:val="24"/>
        </w:rPr>
        <w:t>Преподавателю полезно отдельно акцентировать: хорошая точность измерительного канала не отменяет отказ аварийного реле, неисправность сигнализации или неработающий интерфейс. Итоговое решение всегда учитывает полный объём обязательных функций.</w:t>
      </w:r>
    </w:p>
    <w:p>
      <w:bookmarkStart w:id="44" w:name="toc_sec_044"/>
      <w:pPr>
        <w:pStyle w:val="Heading2"/>
        <w:spacing w:after="120" w:line="276" w:lineRule="auto"/>
      </w:pPr>
      <w:r>
        <w:rPr>
          <w:rFonts w:ascii="Times New Roman" w:hAnsi="Times New Roman"/>
          <w:b w:val="0"/>
          <w:i w:val="0"/>
          <w:sz w:val="24"/>
        </w:rPr>
        <w:t>4.7. Несоответствия, повторные измерения и техническое заключение</w:t>
      </w:r>
      <w:bookmarkEnd w:id="44"/>
    </w:p>
    <w:p>
      <w:pPr>
        <w:spacing w:after="120" w:line="276" w:lineRule="auto"/>
      </w:pPr>
      <w:r>
        <w:rPr>
          <w:rFonts w:ascii="Times New Roman" w:hAnsi="Times New Roman"/>
          <w:b w:val="0"/>
          <w:i w:val="0"/>
          <w:sz w:val="24"/>
        </w:rPr>
        <w:t>Несоответствие фиксируют сразу: что именно обнаружено, в какой точке, при каких условиях и какие действия выполнены. Повторное измерение допускается, если нужно проверить случайную ошибку подключения или нестабильность, но оно не должно стирать первый результат. Если выполнялась регулировка или ремонт, данные «до» и «после» ведут раздельно.</w:t>
      </w:r>
    </w:p>
    <w:p>
      <w:pPr>
        <w:spacing w:after="120" w:line="276" w:lineRule="auto"/>
      </w:pPr>
      <w:r>
        <w:rPr>
          <w:rFonts w:ascii="Times New Roman" w:hAnsi="Times New Roman"/>
          <w:b w:val="0"/>
          <w:i w:val="0"/>
          <w:sz w:val="24"/>
        </w:rPr>
        <w:t>Техническое заключение должно отвечать на три вопроса: что проверено, по каким критериям и какой результат получен. Формулировка «прибор исправен» без перечня проверок и ссылки на протокол недостаточна. Для опытного образца корректно указывать, что он прошёл определённый объём испытаний, а результат не является официальной поверкой, если последняя не выполнялась уполномоченным лицом по установленной процедуре.</w:t>
      </w:r>
    </w:p>
    <w:p>
      <w:pPr>
        <w:spacing w:after="120" w:line="276" w:lineRule="auto"/>
      </w:pPr>
      <w:r>
        <w:rPr>
          <w:rFonts w:ascii="Times New Roman" w:hAnsi="Times New Roman"/>
          <w:b w:val="0"/>
          <w:i w:val="0"/>
          <w:sz w:val="24"/>
        </w:rPr>
        <w:t>С методической точки зрения это один из ключевых разделов: обучающийся должен научиться отделять фактически подтверждённые результаты от широких и недоказанных выводов. Это основа профессиональной ответственности.</w:t>
      </w:r>
    </w:p>
    <w:p>
      <w:pPr>
        <w:keepLines/>
        <w:spacing w:before="160" w:after="40"/>
        <w:jc w:val="center"/>
      </w:pPr>
      <w:r>
        <w:drawing>
          <wp:inline xmlns:a="http://schemas.openxmlformats.org/drawingml/2006/main" xmlns:pic="http://schemas.openxmlformats.org/drawingml/2006/picture">
            <wp:extent cx="5760000" cy="3456000"/>
            <wp:docPr id="14" name="Picture 14"/>
            <wp:cNvGraphicFramePr>
              <a:graphicFrameLocks noChangeAspect="1"/>
            </wp:cNvGraphicFramePr>
            <a:graphic>
              <a:graphicData uri="http://schemas.openxmlformats.org/drawingml/2006/picture">
                <pic:pic>
                  <pic:nvPicPr>
                    <pic:cNvPr id="0" name="figure9_nonconformity_tree.png"/>
                    <pic:cNvPicPr/>
                  </pic:nvPicPr>
                  <pic:blipFill>
                    <a:blip r:embed="rId27"/>
                    <a:stretch>
                      <a:fillRect/>
                    </a:stretch>
                  </pic:blipFill>
                  <pic:spPr>
                    <a:xfrm>
                      <a:off x="0" y="0"/>
                      <a:ext cx="5760000" cy="3456000"/>
                    </a:xfrm>
                    <a:prstGeom prst="rect"/>
                  </pic:spPr>
                </pic:pic>
              </a:graphicData>
            </a:graphic>
          </wp:inline>
        </w:drawing>
      </w:r>
    </w:p>
    <w:p>
      <w:pPr>
        <w:keepNext w:val="0"/>
        <w:spacing w:after="160"/>
        <w:jc w:val="center"/>
      </w:pPr>
      <w:r>
        <w:rPr>
          <w:rFonts w:ascii="Times New Roman" w:hAnsi="Times New Roman"/>
          <w:i/>
          <w:sz w:val="21"/>
        </w:rPr>
        <w:t>Рисунок 9. Дерево действий при обнаружении несоответствия.</w:t>
      </w:r>
    </w:p>
    <w:p>
      <w:bookmarkStart w:id="45" w:name="toc_sec_045"/>
      <w:pPr>
        <w:pStyle w:val="Heading2"/>
        <w:spacing w:after="120" w:line="276" w:lineRule="auto"/>
      </w:pPr>
      <w:r>
        <w:rPr>
          <w:rFonts w:ascii="Times New Roman" w:hAnsi="Times New Roman"/>
          <w:b w:val="0"/>
          <w:i w:val="0"/>
          <w:sz w:val="24"/>
        </w:rPr>
        <w:t>Типовые ситуации при оценке результатов</w:t>
      </w:r>
      <w:bookmarkEnd w:id="45"/>
    </w:p>
    <w:tbl>
      <w:tblPr>
        <w:tblStyle w:val="TableGrid"/>
        <w:tblW w:type="auto" w:w="0"/>
        <w:jc w:val="center"/>
        <w:tblLook w:firstColumn="1" w:firstRow="1" w:lastColumn="0" w:lastRow="0" w:noHBand="0" w:noVBand="1" w:val="04A0"/>
      </w:tblPr>
      <w:tblGrid>
        <w:gridCol w:w="3230"/>
        <w:gridCol w:w="3230"/>
        <w:gridCol w:w="3230"/>
      </w:tblGrid>
      <w:tr>
        <w:tc>
          <w:tcPr>
            <w:tcW w:type="dxa" w:w="2835"/>
            <w:vAlign w:val="center"/>
          </w:tcPr>
          <w:p>
            <w:r>
              <w:rPr>
                <w:rFonts w:ascii="Times New Roman" w:hAnsi="Times New Roman"/>
                <w:b/>
                <w:sz w:val="22"/>
              </w:rPr>
              <w:t>Ситуация</w:t>
            </w:r>
          </w:p>
        </w:tc>
        <w:tc>
          <w:tcPr>
            <w:tcW w:type="dxa" w:w="3402"/>
            <w:vAlign w:val="center"/>
          </w:tcPr>
          <w:p>
            <w:r>
              <w:rPr>
                <w:rFonts w:ascii="Times New Roman" w:hAnsi="Times New Roman"/>
                <w:b/>
                <w:sz w:val="22"/>
              </w:rPr>
              <w:t>Правильное действие</w:t>
            </w:r>
          </w:p>
        </w:tc>
        <w:tc>
          <w:tcPr>
            <w:tcW w:type="dxa" w:w="3402"/>
            <w:vAlign w:val="center"/>
          </w:tcPr>
          <w:p>
            <w:r>
              <w:rPr>
                <w:rFonts w:ascii="Times New Roman" w:hAnsi="Times New Roman"/>
                <w:b/>
                <w:sz w:val="22"/>
              </w:rPr>
              <w:t>Недопустимое действие</w:t>
            </w:r>
          </w:p>
        </w:tc>
      </w:tr>
      <w:tr>
        <w:tc>
          <w:tcPr>
            <w:tcW w:type="dxa" w:w="2835"/>
          </w:tcPr>
          <w:p>
            <w:r>
              <w:rPr>
                <w:rFonts w:ascii="Times New Roman" w:hAnsi="Times New Roman"/>
                <w:sz w:val="22"/>
              </w:rPr>
              <w:t>Одна точка вне допуска</w:t>
            </w:r>
          </w:p>
        </w:tc>
        <w:tc>
          <w:tcPr>
            <w:tcW w:type="dxa" w:w="3402"/>
          </w:tcPr>
          <w:p>
            <w:r>
              <w:rPr>
                <w:rFonts w:ascii="Times New Roman" w:hAnsi="Times New Roman"/>
                <w:sz w:val="22"/>
              </w:rPr>
              <w:t>Зафиксировать, проверить схему и повторить по процедуре</w:t>
            </w:r>
          </w:p>
        </w:tc>
        <w:tc>
          <w:tcPr>
            <w:tcW w:type="dxa" w:w="3402"/>
          </w:tcPr>
          <w:p>
            <w:r>
              <w:rPr>
                <w:rFonts w:ascii="Times New Roman" w:hAnsi="Times New Roman"/>
                <w:sz w:val="22"/>
              </w:rPr>
              <w:t>Удалить «неудачную» точку и усреднить остальные</w:t>
            </w:r>
          </w:p>
        </w:tc>
      </w:tr>
      <w:tr>
        <w:tc>
          <w:tcPr>
            <w:tcW w:type="dxa" w:w="2835"/>
          </w:tcPr>
          <w:p>
            <w:r>
              <w:rPr>
                <w:rFonts w:ascii="Times New Roman" w:hAnsi="Times New Roman"/>
                <w:sz w:val="22"/>
              </w:rPr>
              <w:t>Условия вышли за предел</w:t>
            </w:r>
          </w:p>
        </w:tc>
        <w:tc>
          <w:tcPr>
            <w:tcW w:type="dxa" w:w="3402"/>
          </w:tcPr>
          <w:p>
            <w:r>
              <w:rPr>
                <w:rFonts w:ascii="Times New Roman" w:hAnsi="Times New Roman"/>
                <w:sz w:val="22"/>
              </w:rPr>
              <w:t>Приостановить проверку и восстановить условия</w:t>
            </w:r>
          </w:p>
        </w:tc>
        <w:tc>
          <w:tcPr>
            <w:tcW w:type="dxa" w:w="3402"/>
          </w:tcPr>
          <w:p>
            <w:r>
              <w:rPr>
                <w:rFonts w:ascii="Times New Roman" w:hAnsi="Times New Roman"/>
                <w:sz w:val="22"/>
              </w:rPr>
              <w:t>Продолжить без отметки</w:t>
            </w:r>
          </w:p>
        </w:tc>
      </w:tr>
      <w:tr>
        <w:tc>
          <w:tcPr>
            <w:tcW w:type="dxa" w:w="2835"/>
          </w:tcPr>
          <w:p>
            <w:r>
              <w:rPr>
                <w:rFonts w:ascii="Times New Roman" w:hAnsi="Times New Roman"/>
                <w:sz w:val="22"/>
              </w:rPr>
              <w:t>Обнаружено неверное подключение</w:t>
            </w:r>
          </w:p>
        </w:tc>
        <w:tc>
          <w:tcPr>
            <w:tcW w:type="dxa" w:w="3402"/>
          </w:tcPr>
          <w:p>
            <w:r>
              <w:rPr>
                <w:rFonts w:ascii="Times New Roman" w:hAnsi="Times New Roman"/>
                <w:sz w:val="22"/>
              </w:rPr>
              <w:t>Снять энергию, исправить схему, начать требуемый цикл заново</w:t>
            </w:r>
          </w:p>
        </w:tc>
        <w:tc>
          <w:tcPr>
            <w:tcW w:type="dxa" w:w="3402"/>
          </w:tcPr>
          <w:p>
            <w:r>
              <w:rPr>
                <w:rFonts w:ascii="Times New Roman" w:hAnsi="Times New Roman"/>
                <w:sz w:val="22"/>
              </w:rPr>
              <w:t>Перекоммутировать под напряжением</w:t>
            </w:r>
          </w:p>
        </w:tc>
      </w:tr>
      <w:tr>
        <w:tc>
          <w:tcPr>
            <w:tcW w:type="dxa" w:w="2835"/>
          </w:tcPr>
          <w:p>
            <w:r>
              <w:rPr>
                <w:rFonts w:ascii="Times New Roman" w:hAnsi="Times New Roman"/>
                <w:sz w:val="22"/>
              </w:rPr>
              <w:t>После регулировки стало лучше</w:t>
            </w:r>
          </w:p>
        </w:tc>
        <w:tc>
          <w:tcPr>
            <w:tcW w:type="dxa" w:w="3402"/>
          </w:tcPr>
          <w:p>
            <w:r>
              <w:rPr>
                <w:rFonts w:ascii="Times New Roman" w:hAnsi="Times New Roman"/>
                <w:sz w:val="22"/>
              </w:rPr>
              <w:t>Сохранить серии «до» и «после»</w:t>
            </w:r>
          </w:p>
        </w:tc>
        <w:tc>
          <w:tcPr>
            <w:tcW w:type="dxa" w:w="3402"/>
          </w:tcPr>
          <w:p>
            <w:r>
              <w:rPr>
                <w:rFonts w:ascii="Times New Roman" w:hAnsi="Times New Roman"/>
                <w:sz w:val="22"/>
              </w:rPr>
              <w:t>Заменить исходные данные новыми</w:t>
            </w:r>
          </w:p>
        </w:tc>
      </w:tr>
      <w:tr>
        <w:tc>
          <w:tcPr>
            <w:tcW w:type="dxa" w:w="2835"/>
          </w:tcPr>
          <w:p>
            <w:r>
              <w:rPr>
                <w:rFonts w:ascii="Times New Roman" w:hAnsi="Times New Roman"/>
                <w:sz w:val="22"/>
              </w:rPr>
              <w:t>Не работает сигнализация</w:t>
            </w:r>
          </w:p>
        </w:tc>
        <w:tc>
          <w:tcPr>
            <w:tcW w:type="dxa" w:w="3402"/>
          </w:tcPr>
          <w:p>
            <w:r>
              <w:rPr>
                <w:rFonts w:ascii="Times New Roman" w:hAnsi="Times New Roman"/>
                <w:sz w:val="22"/>
              </w:rPr>
              <w:t>Оформить несоответствие независимо от точности канала</w:t>
            </w:r>
          </w:p>
        </w:tc>
        <w:tc>
          <w:tcPr>
            <w:tcW w:type="dxa" w:w="3402"/>
          </w:tcPr>
          <w:p>
            <w:r>
              <w:rPr>
                <w:rFonts w:ascii="Times New Roman" w:hAnsi="Times New Roman"/>
                <w:sz w:val="22"/>
              </w:rPr>
              <w:t>Признать прибор полностью годным</w:t>
            </w:r>
          </w:p>
        </w:tc>
      </w:tr>
    </w:tbl>
    <w:p/>
    <w:p>
      <w:bookmarkStart w:id="46" w:name="toc_sec_046"/>
      <w:pPr>
        <w:pStyle w:val="Heading2"/>
        <w:spacing w:after="120" w:line="276" w:lineRule="auto"/>
      </w:pPr>
      <w:r>
        <w:rPr>
          <w:rFonts w:ascii="Times New Roman" w:hAnsi="Times New Roman"/>
          <w:b w:val="0"/>
          <w:i w:val="0"/>
          <w:sz w:val="24"/>
        </w:rPr>
        <w:t>Вопросы для закрепления</w:t>
      </w:r>
      <w:bookmarkEnd w:id="46"/>
    </w:p>
    <w:p>
      <w:pPr>
        <w:pStyle w:val="ListNumber"/>
        <w:spacing w:line="276" w:lineRule="auto"/>
      </w:pPr>
      <w:r>
        <w:rPr>
          <w:rFonts w:ascii="Times New Roman" w:hAnsi="Times New Roman"/>
          <w:sz w:val="24"/>
        </w:rPr>
        <w:t>Какие сведения должна задавать программа испытаний?</w:t>
      </w:r>
    </w:p>
    <w:p>
      <w:pPr>
        <w:pStyle w:val="ListNumber"/>
        <w:spacing w:line="276" w:lineRule="auto"/>
      </w:pPr>
      <w:r>
        <w:rPr>
          <w:rFonts w:ascii="Times New Roman" w:hAnsi="Times New Roman"/>
          <w:sz w:val="24"/>
        </w:rPr>
        <w:t>Почему результаты снимают до регулировки?</w:t>
      </w:r>
    </w:p>
    <w:p>
      <w:pPr>
        <w:pStyle w:val="ListNumber"/>
        <w:spacing w:line="276" w:lineRule="auto"/>
      </w:pPr>
      <w:r>
        <w:rPr>
          <w:rFonts w:ascii="Times New Roman" w:hAnsi="Times New Roman"/>
          <w:sz w:val="24"/>
        </w:rPr>
        <w:t>Зачем точки проходят прямым и обратным ходом?</w:t>
      </w:r>
    </w:p>
    <w:p>
      <w:pPr>
        <w:pStyle w:val="ListNumber"/>
        <w:spacing w:line="276" w:lineRule="auto"/>
      </w:pPr>
      <w:r>
        <w:rPr>
          <w:rFonts w:ascii="Times New Roman" w:hAnsi="Times New Roman"/>
          <w:sz w:val="24"/>
        </w:rPr>
        <w:t>Почему нельзя скрывать первичные данные после повторного измерения?</w:t>
      </w:r>
    </w:p>
    <w:p>
      <w:pPr>
        <w:pStyle w:val="ListNumber"/>
        <w:spacing w:line="276" w:lineRule="auto"/>
      </w:pPr>
      <w:r>
        <w:rPr>
          <w:rFonts w:ascii="Times New Roman" w:hAnsi="Times New Roman"/>
          <w:sz w:val="24"/>
        </w:rPr>
        <w:t>Как корректно сформулировать техническое заключение для опытного образца?</w:t>
      </w:r>
    </w:p>
    <w:p>
      <w:bookmarkStart w:id="47" w:name="toc_sec_047"/>
      <w:pPr>
        <w:pStyle w:val="Heading2"/>
        <w:spacing w:after="120" w:line="276" w:lineRule="auto"/>
      </w:pPr>
      <w:r>
        <w:rPr>
          <w:rFonts w:ascii="Times New Roman" w:hAnsi="Times New Roman"/>
          <w:b w:val="0"/>
          <w:i w:val="0"/>
          <w:sz w:val="24"/>
        </w:rPr>
        <w:t>Мини-задание</w:t>
      </w:r>
      <w:bookmarkEnd w:id="47"/>
    </w:p>
    <w:p>
      <w:pPr>
        <w:spacing w:after="120" w:line="276" w:lineRule="auto"/>
      </w:pPr>
      <w:r>
        <w:rPr>
          <w:rFonts w:ascii="Times New Roman" w:hAnsi="Times New Roman"/>
          <w:b w:val="0"/>
          <w:i w:val="0"/>
          <w:sz w:val="24"/>
        </w:rPr>
        <w:t>Составьте краткий алгоритм действий по теме занятия применительно к одному из объектов: преобразователь давления, термопреобразователь, уровнемер, вторичный прибор или газоанализатор. Отдельно укажите документы, риски, контрольные точки и вид итоговой записи.</w:t>
      </w:r>
    </w:p>
    <w:p>
      <w:r>
        <w:br w:type="page"/>
      </w:r>
    </w:p>
    <w:p>
      <w:bookmarkStart w:id="48" w:name="toc_sec_048"/>
      <w:pPr>
        <w:pStyle w:val="Heading1"/>
        <w:spacing w:after="120" w:line="276" w:lineRule="auto"/>
      </w:pPr>
      <w:r>
        <w:rPr>
          <w:rFonts w:ascii="Times New Roman" w:hAnsi="Times New Roman"/>
          <w:b w:val="0"/>
          <w:i w:val="0"/>
          <w:sz w:val="24"/>
        </w:rPr>
        <w:t>Занятие 5. Сдача прибора и ввод в эксплуатацию</w:t>
      </w:r>
      <w:bookmarkEnd w:id="48"/>
    </w:p>
    <w:p>
      <w:pPr>
        <w:spacing w:after="120" w:line="276" w:lineRule="auto"/>
      </w:pPr>
      <w:r>
        <w:rPr>
          <w:rFonts w:ascii="Times New Roman" w:hAnsi="Times New Roman"/>
          <w:b/>
          <w:i w:val="0"/>
          <w:sz w:val="24"/>
        </w:rPr>
        <w:t>Продолжительность: 2 академических часа</w:t>
      </w:r>
    </w:p>
    <w:p>
      <w:pPr>
        <w:spacing w:after="120" w:line="276" w:lineRule="auto"/>
      </w:pPr>
      <w:r>
        <w:rPr>
          <w:rFonts w:ascii="Times New Roman" w:hAnsi="Times New Roman"/>
          <w:b w:val="0"/>
          <w:i w:val="0"/>
          <w:sz w:val="24"/>
        </w:rPr>
        <w:t>Цель и ожидаемый результат: После занятия обучающийся должен уметь подготовить комплект передачи, заполнить паспорт и акт, перенести ограничения во все документы и различать техническую готовность, метрологическое подтверждение и решение о вводе в эксплуатацию.</w:t>
      </w:r>
    </w:p>
    <w:p>
      <w:bookmarkStart w:id="49" w:name="toc_sec_049"/>
      <w:pPr>
        <w:pStyle w:val="Heading2"/>
        <w:spacing w:after="120" w:line="276" w:lineRule="auto"/>
      </w:pPr>
      <w:r>
        <w:rPr>
          <w:rFonts w:ascii="Times New Roman" w:hAnsi="Times New Roman"/>
          <w:b w:val="0"/>
          <w:i w:val="0"/>
          <w:sz w:val="24"/>
        </w:rPr>
        <w:t>5.1. Что означает сдача прибора</w:t>
      </w:r>
      <w:bookmarkEnd w:id="49"/>
    </w:p>
    <w:p>
      <w:pPr>
        <w:spacing w:after="120" w:line="276" w:lineRule="auto"/>
      </w:pPr>
      <w:r>
        <w:rPr>
          <w:rFonts w:ascii="Times New Roman" w:hAnsi="Times New Roman"/>
          <w:b w:val="0"/>
          <w:i w:val="0"/>
          <w:sz w:val="24"/>
        </w:rPr>
        <w:t>Сдача завершает согласованный этап работ. Исполнитель передаёт объект, результаты и документы, а принимающая сторона проверяет комплектность и принимает решение. Подпись в акте не должна использоваться как способ «закрыть вопрос» при неоконченных испытаниях, отсутствии обязательных функций или неоформленных ограничениях.</w:t>
      </w:r>
    </w:p>
    <w:p>
      <w:pPr>
        <w:spacing w:after="120" w:line="276" w:lineRule="auto"/>
      </w:pPr>
      <w:r>
        <w:rPr>
          <w:rFonts w:ascii="Times New Roman" w:hAnsi="Times New Roman"/>
          <w:b w:val="0"/>
          <w:i w:val="0"/>
          <w:sz w:val="24"/>
        </w:rPr>
        <w:t>Статус передачи нужно формулировать точно: сдан после ремонта; передан на поверку; передан для монтажа; допущен к опытной эксплуатации с ограничениями; не сдан из-за несоответствия. Каждая формулировка запускает разные дальнейшие действия и определяет ответственность сторон.</w:t>
      </w:r>
    </w:p>
    <w:p>
      <w:pPr>
        <w:spacing w:after="120" w:line="276" w:lineRule="auto"/>
      </w:pPr>
      <w:r>
        <w:rPr>
          <w:rFonts w:ascii="Times New Roman" w:hAnsi="Times New Roman"/>
          <w:b w:val="0"/>
          <w:i w:val="0"/>
          <w:sz w:val="24"/>
        </w:rPr>
        <w:t>Для обучения особенно важна мысль: положительный протокол испытаний и разрешение на ввод в эксплуатацию — не одно и то же. Между ними могут стоять монтаж на объекте, официальная поверка, согласование ограничений и решение ответственного лица.</w:t>
      </w:r>
    </w:p>
    <w:p>
      <w:bookmarkStart w:id="50" w:name="toc_sec_050"/>
      <w:pPr>
        <w:pStyle w:val="Heading2"/>
        <w:spacing w:after="120" w:line="276" w:lineRule="auto"/>
      </w:pPr>
      <w:r>
        <w:rPr>
          <w:rFonts w:ascii="Times New Roman" w:hAnsi="Times New Roman"/>
          <w:b w:val="0"/>
          <w:i w:val="0"/>
          <w:sz w:val="24"/>
        </w:rPr>
        <w:t>5.2. Комплект документов передачи</w:t>
      </w:r>
      <w:bookmarkEnd w:id="50"/>
    </w:p>
    <w:p>
      <w:pPr>
        <w:spacing w:after="120" w:line="276" w:lineRule="auto"/>
      </w:pPr>
      <w:r>
        <w:rPr>
          <w:rFonts w:ascii="Times New Roman" w:hAnsi="Times New Roman"/>
          <w:b w:val="0"/>
          <w:i w:val="0"/>
          <w:sz w:val="24"/>
        </w:rPr>
        <w:t>Обычно комплект включает паспорт или формуляр, протокол испытаний, при необходимости документ о поверке, акт сдачи-приёмки, схему и настройки, а также перечень комплектности. Все эти документы должны быть связаны между собой: по объекту, номеру, дате, составу работ и ограничениям. Нельзя, чтобы протокол говорил одно, а паспорт — другое, или чтобы ограничение, указанное в испытаниях, исчезало в акте.</w:t>
      </w:r>
    </w:p>
    <w:p>
      <w:pPr>
        <w:spacing w:after="120" w:line="276" w:lineRule="auto"/>
      </w:pPr>
      <w:r>
        <w:rPr>
          <w:rFonts w:ascii="Times New Roman" w:hAnsi="Times New Roman"/>
          <w:b w:val="0"/>
          <w:i w:val="0"/>
          <w:sz w:val="24"/>
        </w:rPr>
        <w:t>В учебном процессе полезно разбирать каждый документ по функции. Паспорт хранит идентификацию и историю работ. Протокол фиксирует условия, оборудование, данные, расчёты и вывод. Акт подтверждает факт передачи и решение принимающей стороны. Перечень комплектности предотвращает потерю принадлежностей, модулей и носителей.</w:t>
      </w:r>
    </w:p>
    <w:p>
      <w:pPr>
        <w:spacing w:after="120" w:line="276" w:lineRule="auto"/>
      </w:pPr>
      <w:r>
        <w:rPr>
          <w:rFonts w:ascii="Times New Roman" w:hAnsi="Times New Roman"/>
          <w:b w:val="0"/>
          <w:i w:val="0"/>
          <w:sz w:val="24"/>
        </w:rPr>
        <w:t>Такой подход помогает обучающемуся понять, что документы не дублируют друг друга, а образуют единую систему прослеживаемости.</w:t>
      </w:r>
    </w:p>
    <w:p>
      <w:pPr>
        <w:keepLines/>
        <w:spacing w:before="160" w:after="40"/>
        <w:jc w:val="center"/>
      </w:pPr>
      <w:r>
        <w:drawing>
          <wp:inline xmlns:a="http://schemas.openxmlformats.org/drawingml/2006/main" xmlns:pic="http://schemas.openxmlformats.org/drawingml/2006/picture">
            <wp:extent cx="5760000" cy="3553920"/>
            <wp:docPr id="15" name="Picture 15"/>
            <wp:cNvGraphicFramePr>
              <a:graphicFrameLocks noChangeAspect="1"/>
            </wp:cNvGraphicFramePr>
            <a:graphic>
              <a:graphicData uri="http://schemas.openxmlformats.org/drawingml/2006/picture">
                <pic:pic>
                  <pic:nvPicPr>
                    <pic:cNvPr id="0" name="figure3_document_flow.png"/>
                    <pic:cNvPicPr/>
                  </pic:nvPicPr>
                  <pic:blipFill>
                    <a:blip r:embed="rId28"/>
                    <a:stretch>
                      <a:fillRect/>
                    </a:stretch>
                  </pic:blipFill>
                  <pic:spPr>
                    <a:xfrm>
                      <a:off x="0" y="0"/>
                      <a:ext cx="5760000" cy="3553920"/>
                    </a:xfrm>
                    <a:prstGeom prst="rect"/>
                  </pic:spPr>
                </pic:pic>
              </a:graphicData>
            </a:graphic>
          </wp:inline>
        </w:drawing>
      </w:r>
    </w:p>
    <w:p>
      <w:pPr>
        <w:keepNext w:val="0"/>
        <w:spacing w:after="160"/>
        <w:jc w:val="center"/>
      </w:pPr>
      <w:r>
        <w:rPr>
          <w:rFonts w:ascii="Times New Roman" w:hAnsi="Times New Roman"/>
          <w:i/>
          <w:sz w:val="21"/>
        </w:rPr>
        <w:t>Рисунок 3. Документальный маршрут результата.</w:t>
      </w:r>
    </w:p>
    <w:p>
      <w:pPr>
        <w:keepLines/>
        <w:spacing w:before="160" w:after="40"/>
        <w:jc w:val="center"/>
      </w:pPr>
      <w:r>
        <w:drawing>
          <wp:inline xmlns:a="http://schemas.openxmlformats.org/drawingml/2006/main" xmlns:pic="http://schemas.openxmlformats.org/drawingml/2006/picture">
            <wp:extent cx="5760000" cy="3312000"/>
            <wp:docPr id="16" name="Picture 16"/>
            <wp:cNvGraphicFramePr>
              <a:graphicFrameLocks noChangeAspect="1"/>
            </wp:cNvGraphicFramePr>
            <a:graphic>
              <a:graphicData uri="http://schemas.openxmlformats.org/drawingml/2006/picture">
                <pic:pic>
                  <pic:nvPicPr>
                    <pic:cNvPr id="0" name="figure12_handover_package.png"/>
                    <pic:cNvPicPr/>
                  </pic:nvPicPr>
                  <pic:blipFill>
                    <a:blip r:embed="rId29"/>
                    <a:stretch>
                      <a:fillRect/>
                    </a:stretch>
                  </pic:blipFill>
                  <pic:spPr>
                    <a:xfrm>
                      <a:off x="0" y="0"/>
                      <a:ext cx="5760000" cy="3312000"/>
                    </a:xfrm>
                    <a:prstGeom prst="rect"/>
                  </pic:spPr>
                </pic:pic>
              </a:graphicData>
            </a:graphic>
          </wp:inline>
        </w:drawing>
      </w:r>
    </w:p>
    <w:p>
      <w:pPr>
        <w:keepNext w:val="0"/>
        <w:spacing w:after="160"/>
        <w:jc w:val="center"/>
      </w:pPr>
      <w:r>
        <w:rPr>
          <w:rFonts w:ascii="Times New Roman" w:hAnsi="Times New Roman"/>
          <w:i/>
          <w:sz w:val="21"/>
        </w:rPr>
        <w:t>Рисунок 12. Комплект передачи прибора после работ.</w:t>
      </w:r>
    </w:p>
    <w:p>
      <w:bookmarkStart w:id="51" w:name="toc_sec_051"/>
      <w:pPr>
        <w:pStyle w:val="Heading2"/>
        <w:spacing w:after="120" w:line="276" w:lineRule="auto"/>
      </w:pPr>
      <w:r>
        <w:rPr>
          <w:rFonts w:ascii="Times New Roman" w:hAnsi="Times New Roman"/>
          <w:b w:val="0"/>
          <w:i w:val="0"/>
          <w:sz w:val="24"/>
        </w:rPr>
        <w:t>5.3. Правила заполнения паспорта</w:t>
      </w:r>
      <w:bookmarkEnd w:id="51"/>
    </w:p>
    <w:p>
      <w:pPr>
        <w:spacing w:after="120" w:line="276" w:lineRule="auto"/>
      </w:pPr>
      <w:r>
        <w:rPr>
          <w:rFonts w:ascii="Times New Roman" w:hAnsi="Times New Roman"/>
          <w:b w:val="0"/>
          <w:i w:val="0"/>
          <w:sz w:val="24"/>
        </w:rPr>
        <w:t>Записи в паспорт вносят конкретно и однозначно. Указывают наименование, тип, заводской номер, исполнение, диапазон, выход, питание, место установки и владельца. Далее описывают основание работ, выявленные дефекты, заменённые детали, выполненные регулировки, применённое оборудование, результаты и ограничения.</w:t>
      </w:r>
    </w:p>
    <w:p>
      <w:pPr>
        <w:spacing w:after="120" w:line="276" w:lineRule="auto"/>
      </w:pPr>
      <w:r>
        <w:rPr>
          <w:rFonts w:ascii="Times New Roman" w:hAnsi="Times New Roman"/>
          <w:b w:val="0"/>
          <w:i w:val="0"/>
          <w:sz w:val="24"/>
        </w:rPr>
        <w:t>Фразы типа «ремонт выполнен» слишком общие. Гораздо лучше запись: «Заменён клеммный блок, восстановлена маркировка цепей, выполнена очистка корпуса, проверены герметичность, выход 4–20 мА и срабатывание аварийного реле, результаты см. протокол № …». Такая запись создаёт понятную связь между действием и результатом.</w:t>
      </w:r>
    </w:p>
    <w:p>
      <w:pPr>
        <w:spacing w:after="120" w:line="276" w:lineRule="auto"/>
      </w:pPr>
      <w:r>
        <w:rPr>
          <w:rFonts w:ascii="Times New Roman" w:hAnsi="Times New Roman"/>
          <w:b w:val="0"/>
          <w:i w:val="0"/>
          <w:sz w:val="24"/>
        </w:rPr>
        <w:t>Если прибор имеет ограничение — например, прошёл стендовые испытания, но официальная поверка ещё не выполнена, — это ограничение должно быть заметно отражено в паспорте. Замалчивание ограничений создаёт ложное впечатление полной готовности.</w:t>
      </w:r>
    </w:p>
    <w:p>
      <w:bookmarkStart w:id="52" w:name="toc_sec_052"/>
      <w:pPr>
        <w:pStyle w:val="Heading2"/>
        <w:spacing w:after="120" w:line="276" w:lineRule="auto"/>
      </w:pPr>
      <w:r>
        <w:rPr>
          <w:rFonts w:ascii="Times New Roman" w:hAnsi="Times New Roman"/>
          <w:b w:val="0"/>
          <w:i w:val="0"/>
          <w:sz w:val="24"/>
        </w:rPr>
        <w:t>5.4. Акт сдачи-приёмки и решение принимающей стороны</w:t>
      </w:r>
      <w:bookmarkEnd w:id="52"/>
    </w:p>
    <w:p>
      <w:pPr>
        <w:spacing w:after="120" w:line="276" w:lineRule="auto"/>
      </w:pPr>
      <w:r>
        <w:rPr>
          <w:rFonts w:ascii="Times New Roman" w:hAnsi="Times New Roman"/>
          <w:b w:val="0"/>
          <w:i w:val="0"/>
          <w:sz w:val="24"/>
        </w:rPr>
        <w:t>Акт содержит стороны, основание передачи, объект, выполненные работы, комплект документов, замечания, ограничения, принятое решение, дату и подписи. По акту принимающее лицо должно без устных пояснений понять, что передано, в каком состоянии, на каком основании и с какими условиями.</w:t>
      </w:r>
    </w:p>
    <w:p>
      <w:pPr>
        <w:spacing w:after="120" w:line="276" w:lineRule="auto"/>
      </w:pPr>
      <w:r>
        <w:rPr>
          <w:rFonts w:ascii="Times New Roman" w:hAnsi="Times New Roman"/>
          <w:b w:val="0"/>
          <w:i w:val="0"/>
          <w:sz w:val="24"/>
        </w:rPr>
        <w:t>Возможные решения различаются по смыслу. «Сдан без замечаний» означает завершение всех обязательных проверок и отсутствие ограничений. «Сдан с ограничениями» допускает переход к следующему этапу, но при наличии чётко зафиксированных условий. «Передан на поверку» означает техническую готовность к официальной метрологической процедуре. «Не сдан» фиксирует наличие несоответствия, опасного состояния или неполного комплекта.</w:t>
      </w:r>
    </w:p>
    <w:p>
      <w:pPr>
        <w:spacing w:after="120" w:line="276" w:lineRule="auto"/>
      </w:pPr>
      <w:r>
        <w:rPr>
          <w:rFonts w:ascii="Times New Roman" w:hAnsi="Times New Roman"/>
          <w:b w:val="0"/>
          <w:i w:val="0"/>
          <w:sz w:val="24"/>
        </w:rPr>
        <w:t>Обучающемуся важно видеть, что формулировка в акте — это не литературный стиль, а управленческое решение, от которого зависят дальнейшие действия персонала.</w:t>
      </w:r>
    </w:p>
    <w:p>
      <w:bookmarkStart w:id="53" w:name="toc_sec_053"/>
      <w:pPr>
        <w:pStyle w:val="Heading2"/>
        <w:spacing w:after="120" w:line="276" w:lineRule="auto"/>
      </w:pPr>
      <w:r>
        <w:rPr>
          <w:rFonts w:ascii="Times New Roman" w:hAnsi="Times New Roman"/>
          <w:b w:val="0"/>
          <w:i w:val="0"/>
          <w:sz w:val="24"/>
        </w:rPr>
        <w:t>5.5. Проверка после установки и решение о вводе</w:t>
      </w:r>
      <w:bookmarkEnd w:id="53"/>
    </w:p>
    <w:p>
      <w:pPr>
        <w:spacing w:after="120" w:line="276" w:lineRule="auto"/>
      </w:pPr>
      <w:r>
        <w:rPr>
          <w:rFonts w:ascii="Times New Roman" w:hAnsi="Times New Roman"/>
          <w:b w:val="0"/>
          <w:i w:val="0"/>
          <w:sz w:val="24"/>
        </w:rPr>
        <w:t>После монтажа на объекте проверяют место установки, ориентацию, крепление, импульсные линии, кабели, экраны, заземление, крышки, герметизацию вводов. После подачи среды проверяют отсутствие утечек, после подачи питания — ток потребления, индикацию, отсутствие ненормального нагрева. Затем подтверждают показание, выходной сигнал, направление действия, сигнализацию, связь и влияние на систему управления.</w:t>
      </w:r>
    </w:p>
    <w:p>
      <w:pPr>
        <w:spacing w:after="120" w:line="276" w:lineRule="auto"/>
      </w:pPr>
      <w:r>
        <w:rPr>
          <w:rFonts w:ascii="Times New Roman" w:hAnsi="Times New Roman"/>
          <w:b w:val="0"/>
          <w:i w:val="0"/>
          <w:sz w:val="24"/>
        </w:rPr>
        <w:t>Если прибор участвует в защите, его ввод выполняется по отдельной процедуре с участием ответственных лиц. Решение о вводе принимает не слесарь по КИПиА, а назначенное ответственное лицо, которое оценивает техническую, метрологическую, функциональную, документальную и организационную готовность. Слесарь предоставляет достоверные данные и сообщает ограничения.</w:t>
      </w:r>
    </w:p>
    <w:p>
      <w:pPr>
        <w:spacing w:after="120" w:line="276" w:lineRule="auto"/>
      </w:pPr>
      <w:r>
        <w:rPr>
          <w:rFonts w:ascii="Times New Roman" w:hAnsi="Times New Roman"/>
          <w:b w:val="0"/>
          <w:i w:val="0"/>
          <w:sz w:val="24"/>
        </w:rPr>
        <w:t>Таким образом, граница полномочий принципиальна: качественно выполнить техническую работу — обязанность слесаря; разрешить эксплуатацию в регулируемой сфере — полномочие ответственного лица и, при необходимости, метрологической службы.</w:t>
      </w:r>
    </w:p>
    <w:p>
      <w:pPr>
        <w:keepLines/>
        <w:spacing w:before="160" w:after="40"/>
        <w:jc w:val="center"/>
      </w:pPr>
      <w:r>
        <w:drawing>
          <wp:inline xmlns:a="http://schemas.openxmlformats.org/drawingml/2006/main" xmlns:pic="http://schemas.openxmlformats.org/drawingml/2006/picture">
            <wp:extent cx="5760000" cy="3553920"/>
            <wp:docPr id="17" name="Picture 17"/>
            <wp:cNvGraphicFramePr>
              <a:graphicFrameLocks noChangeAspect="1"/>
            </wp:cNvGraphicFramePr>
            <a:graphic>
              <a:graphicData uri="http://schemas.openxmlformats.org/drawingml/2006/picture">
                <pic:pic>
                  <pic:nvPicPr>
                    <pic:cNvPr id="0" name="figure10_readiness_types.png"/>
                    <pic:cNvPicPr/>
                  </pic:nvPicPr>
                  <pic:blipFill>
                    <a:blip r:embed="rId30"/>
                    <a:stretch>
                      <a:fillRect/>
                    </a:stretch>
                  </pic:blipFill>
                  <pic:spPr>
                    <a:xfrm>
                      <a:off x="0" y="0"/>
                      <a:ext cx="5760000" cy="3553920"/>
                    </a:xfrm>
                    <a:prstGeom prst="rect"/>
                  </pic:spPr>
                </pic:pic>
              </a:graphicData>
            </a:graphic>
          </wp:inline>
        </w:drawing>
      </w:r>
    </w:p>
    <w:p>
      <w:pPr>
        <w:keepNext w:val="0"/>
        <w:spacing w:after="160"/>
        <w:jc w:val="center"/>
      </w:pPr>
      <w:r>
        <w:rPr>
          <w:rFonts w:ascii="Times New Roman" w:hAnsi="Times New Roman"/>
          <w:i/>
          <w:sz w:val="21"/>
        </w:rPr>
        <w:t>Рисунок 10. Виды готовности перед вводом в эксплуатацию.</w:t>
      </w:r>
    </w:p>
    <w:p>
      <w:bookmarkStart w:id="54" w:name="toc_sec_054"/>
      <w:pPr>
        <w:pStyle w:val="Heading2"/>
        <w:spacing w:after="120" w:line="276" w:lineRule="auto"/>
      </w:pPr>
      <w:r>
        <w:rPr>
          <w:rFonts w:ascii="Times New Roman" w:hAnsi="Times New Roman"/>
          <w:b w:val="0"/>
          <w:i w:val="0"/>
          <w:sz w:val="24"/>
        </w:rPr>
        <w:t>5.6. Прослеживаемость, архивирование и профессиональная ответственность</w:t>
      </w:r>
      <w:bookmarkEnd w:id="54"/>
    </w:p>
    <w:p>
      <w:pPr>
        <w:spacing w:after="120" w:line="276" w:lineRule="auto"/>
      </w:pPr>
      <w:r>
        <w:rPr>
          <w:rFonts w:ascii="Times New Roman" w:hAnsi="Times New Roman"/>
          <w:b w:val="0"/>
          <w:i w:val="0"/>
          <w:sz w:val="24"/>
        </w:rPr>
        <w:t>Прослеживаемость означает возможность восстановить историю: какой прибор, когда, кем, по какой версии документа, каким оборудованием и с каким результатом проверялся. Для этого хранят первичные данные, версии документов, номера средств контроля, фотофиксацию при необходимости, записи о замечаниях и ограничениях.</w:t>
      </w:r>
    </w:p>
    <w:p>
      <w:pPr>
        <w:spacing w:after="120" w:line="276" w:lineRule="auto"/>
      </w:pPr>
      <w:r>
        <w:rPr>
          <w:rFonts w:ascii="Times New Roman" w:hAnsi="Times New Roman"/>
          <w:b w:val="0"/>
          <w:i w:val="0"/>
          <w:sz w:val="24"/>
        </w:rPr>
        <w:t>Удаление первичных данных ради «аккуратного отчёта» разрушает прослеживаемость. Наоборот, дисциплина хранения делает работу убедительной: при повторной неисправности можно сравнить состояние, выявить повторяющийся дефект, оценить качество ремонта и обоснованность решения о сдаче.</w:t>
      </w:r>
    </w:p>
    <w:p>
      <w:pPr>
        <w:spacing w:after="120" w:line="276" w:lineRule="auto"/>
      </w:pPr>
      <w:r>
        <w:rPr>
          <w:rFonts w:ascii="Times New Roman" w:hAnsi="Times New Roman"/>
          <w:b w:val="0"/>
          <w:i w:val="0"/>
          <w:sz w:val="24"/>
        </w:rPr>
        <w:t>Этот раздел полезно завершать профессиональным акцентом: ответственная работа по КИПиА измеряется не только исправным прибором на выходе, но и качеством доказательств, что именно было сделано и на каком основании принято решение.</w:t>
      </w:r>
    </w:p>
    <w:p>
      <w:bookmarkStart w:id="55" w:name="toc_sec_055"/>
      <w:pPr>
        <w:pStyle w:val="Heading2"/>
        <w:spacing w:after="120" w:line="276" w:lineRule="auto"/>
      </w:pPr>
      <w:r>
        <w:rPr>
          <w:rFonts w:ascii="Times New Roman" w:hAnsi="Times New Roman"/>
          <w:b w:val="0"/>
          <w:i w:val="0"/>
          <w:sz w:val="24"/>
        </w:rPr>
        <w:t>Варианты решения по акту сдачи-приёмки</w:t>
      </w:r>
      <w:bookmarkEnd w:id="55"/>
    </w:p>
    <w:tbl>
      <w:tblPr>
        <w:tblStyle w:val="TableGrid"/>
        <w:tblW w:type="auto" w:w="0"/>
        <w:jc w:val="center"/>
        <w:tblLook w:firstColumn="1" w:firstRow="1" w:lastColumn="0" w:lastRow="0" w:noHBand="0" w:noVBand="1" w:val="04A0"/>
      </w:tblPr>
      <w:tblGrid>
        <w:gridCol w:w="3230"/>
        <w:gridCol w:w="3230"/>
        <w:gridCol w:w="3230"/>
      </w:tblGrid>
      <w:tr>
        <w:tc>
          <w:tcPr>
            <w:tcW w:type="dxa" w:w="2835"/>
            <w:vAlign w:val="center"/>
          </w:tcPr>
          <w:p>
            <w:r>
              <w:rPr>
                <w:rFonts w:ascii="Times New Roman" w:hAnsi="Times New Roman"/>
                <w:b/>
                <w:sz w:val="22"/>
              </w:rPr>
              <w:t>Решение</w:t>
            </w:r>
          </w:p>
        </w:tc>
        <w:tc>
          <w:tcPr>
            <w:tcW w:type="dxa" w:w="3402"/>
            <w:vAlign w:val="center"/>
          </w:tcPr>
          <w:p>
            <w:r>
              <w:rPr>
                <w:rFonts w:ascii="Times New Roman" w:hAnsi="Times New Roman"/>
                <w:b/>
                <w:sz w:val="22"/>
              </w:rPr>
              <w:t>Когда применяют</w:t>
            </w:r>
          </w:p>
        </w:tc>
        <w:tc>
          <w:tcPr>
            <w:tcW w:type="dxa" w:w="3402"/>
            <w:vAlign w:val="center"/>
          </w:tcPr>
          <w:p>
            <w:r>
              <w:rPr>
                <w:rFonts w:ascii="Times New Roman" w:hAnsi="Times New Roman"/>
                <w:b/>
                <w:sz w:val="22"/>
              </w:rPr>
              <w:t>Следующее действие</w:t>
            </w:r>
          </w:p>
        </w:tc>
      </w:tr>
      <w:tr>
        <w:tc>
          <w:tcPr>
            <w:tcW w:type="dxa" w:w="2835"/>
          </w:tcPr>
          <w:p>
            <w:r>
              <w:rPr>
                <w:rFonts w:ascii="Times New Roman" w:hAnsi="Times New Roman"/>
                <w:sz w:val="22"/>
              </w:rPr>
              <w:t>Сдан без замечаний</w:t>
            </w:r>
          </w:p>
        </w:tc>
        <w:tc>
          <w:tcPr>
            <w:tcW w:type="dxa" w:w="3402"/>
          </w:tcPr>
          <w:p>
            <w:r>
              <w:rPr>
                <w:rFonts w:ascii="Times New Roman" w:hAnsi="Times New Roman"/>
                <w:sz w:val="22"/>
              </w:rPr>
              <w:t>Все обязательные проверки и документы завершены</w:t>
            </w:r>
          </w:p>
        </w:tc>
        <w:tc>
          <w:tcPr>
            <w:tcW w:type="dxa" w:w="3402"/>
          </w:tcPr>
          <w:p>
            <w:r>
              <w:rPr>
                <w:rFonts w:ascii="Times New Roman" w:hAnsi="Times New Roman"/>
                <w:sz w:val="22"/>
              </w:rPr>
              <w:t>Выполнить установленную процедуру ввода</w:t>
            </w:r>
          </w:p>
        </w:tc>
      </w:tr>
      <w:tr>
        <w:tc>
          <w:tcPr>
            <w:tcW w:type="dxa" w:w="2835"/>
          </w:tcPr>
          <w:p>
            <w:r>
              <w:rPr>
                <w:rFonts w:ascii="Times New Roman" w:hAnsi="Times New Roman"/>
                <w:sz w:val="22"/>
              </w:rPr>
              <w:t>Сдан с ограничениями</w:t>
            </w:r>
          </w:p>
        </w:tc>
        <w:tc>
          <w:tcPr>
            <w:tcW w:type="dxa" w:w="3402"/>
          </w:tcPr>
          <w:p>
            <w:r>
              <w:rPr>
                <w:rFonts w:ascii="Times New Roman" w:hAnsi="Times New Roman"/>
                <w:sz w:val="22"/>
              </w:rPr>
              <w:t>Результат приемлем для следующего этапа, но есть условия</w:t>
            </w:r>
          </w:p>
        </w:tc>
        <w:tc>
          <w:tcPr>
            <w:tcW w:type="dxa" w:w="3402"/>
          </w:tcPr>
          <w:p>
            <w:r>
              <w:rPr>
                <w:rFonts w:ascii="Times New Roman" w:hAnsi="Times New Roman"/>
                <w:sz w:val="22"/>
              </w:rPr>
              <w:t>Выполнить условия и подтвердить их закрытие</w:t>
            </w:r>
          </w:p>
        </w:tc>
      </w:tr>
      <w:tr>
        <w:tc>
          <w:tcPr>
            <w:tcW w:type="dxa" w:w="2835"/>
          </w:tcPr>
          <w:p>
            <w:r>
              <w:rPr>
                <w:rFonts w:ascii="Times New Roman" w:hAnsi="Times New Roman"/>
                <w:sz w:val="22"/>
              </w:rPr>
              <w:t>Передан на поверку</w:t>
            </w:r>
          </w:p>
        </w:tc>
        <w:tc>
          <w:tcPr>
            <w:tcW w:type="dxa" w:w="3402"/>
          </w:tcPr>
          <w:p>
            <w:r>
              <w:rPr>
                <w:rFonts w:ascii="Times New Roman" w:hAnsi="Times New Roman"/>
                <w:sz w:val="22"/>
              </w:rPr>
              <w:t>Техническая подготовка завершена, метрологическое подтверждение впереди</w:t>
            </w:r>
          </w:p>
        </w:tc>
        <w:tc>
          <w:tcPr>
            <w:tcW w:type="dxa" w:w="3402"/>
          </w:tcPr>
          <w:p>
            <w:r>
              <w:rPr>
                <w:rFonts w:ascii="Times New Roman" w:hAnsi="Times New Roman"/>
                <w:sz w:val="22"/>
              </w:rPr>
              <w:t>Провести поверку уполномоченным лицом</w:t>
            </w:r>
          </w:p>
        </w:tc>
      </w:tr>
      <w:tr>
        <w:tc>
          <w:tcPr>
            <w:tcW w:type="dxa" w:w="2835"/>
          </w:tcPr>
          <w:p>
            <w:r>
              <w:rPr>
                <w:rFonts w:ascii="Times New Roman" w:hAnsi="Times New Roman"/>
                <w:sz w:val="22"/>
              </w:rPr>
              <w:t>Не сдан</w:t>
            </w:r>
          </w:p>
        </w:tc>
        <w:tc>
          <w:tcPr>
            <w:tcW w:type="dxa" w:w="3402"/>
          </w:tcPr>
          <w:p>
            <w:r>
              <w:rPr>
                <w:rFonts w:ascii="Times New Roman" w:hAnsi="Times New Roman"/>
                <w:sz w:val="22"/>
              </w:rPr>
              <w:t>Есть несоответствие, опасное состояние или неполный комплект</w:t>
            </w:r>
          </w:p>
        </w:tc>
        <w:tc>
          <w:tcPr>
            <w:tcW w:type="dxa" w:w="3402"/>
          </w:tcPr>
          <w:p>
            <w:r>
              <w:rPr>
                <w:rFonts w:ascii="Times New Roman" w:hAnsi="Times New Roman"/>
                <w:sz w:val="22"/>
              </w:rPr>
              <w:t>Устранить причину и повторить необходимые проверки</w:t>
            </w:r>
          </w:p>
        </w:tc>
      </w:tr>
    </w:tbl>
    <w:p/>
    <w:p>
      <w:bookmarkStart w:id="56" w:name="toc_sec_056"/>
      <w:pPr>
        <w:pStyle w:val="Heading2"/>
        <w:spacing w:after="120" w:line="276" w:lineRule="auto"/>
      </w:pPr>
      <w:r>
        <w:rPr>
          <w:rFonts w:ascii="Times New Roman" w:hAnsi="Times New Roman"/>
          <w:b w:val="0"/>
          <w:i w:val="0"/>
          <w:sz w:val="24"/>
        </w:rPr>
        <w:t>Вопросы для закрепления</w:t>
      </w:r>
      <w:bookmarkEnd w:id="56"/>
    </w:p>
    <w:p>
      <w:pPr>
        <w:pStyle w:val="ListNumber"/>
        <w:spacing w:line="276" w:lineRule="auto"/>
      </w:pPr>
      <w:r>
        <w:rPr>
          <w:rFonts w:ascii="Times New Roman" w:hAnsi="Times New Roman"/>
          <w:sz w:val="24"/>
        </w:rPr>
        <w:t>Чем отличаются сдача после ремонта, передача на поверку и ввод в эксплуатацию?</w:t>
      </w:r>
    </w:p>
    <w:p>
      <w:pPr>
        <w:pStyle w:val="ListNumber"/>
        <w:spacing w:line="276" w:lineRule="auto"/>
      </w:pPr>
      <w:r>
        <w:rPr>
          <w:rFonts w:ascii="Times New Roman" w:hAnsi="Times New Roman"/>
          <w:sz w:val="24"/>
        </w:rPr>
        <w:t>Какие записи обязательно должны связывать паспорт с протоколом?</w:t>
      </w:r>
    </w:p>
    <w:p>
      <w:pPr>
        <w:pStyle w:val="ListNumber"/>
        <w:spacing w:line="276" w:lineRule="auto"/>
      </w:pPr>
      <w:r>
        <w:rPr>
          <w:rFonts w:ascii="Times New Roman" w:hAnsi="Times New Roman"/>
          <w:sz w:val="24"/>
        </w:rPr>
        <w:t>Почему ограничение нельзя «потерять» при переносе информации в акт?</w:t>
      </w:r>
    </w:p>
    <w:p>
      <w:pPr>
        <w:pStyle w:val="ListNumber"/>
        <w:spacing w:line="276" w:lineRule="auto"/>
      </w:pPr>
      <w:r>
        <w:rPr>
          <w:rFonts w:ascii="Times New Roman" w:hAnsi="Times New Roman"/>
          <w:sz w:val="24"/>
        </w:rPr>
        <w:t>Какие виды готовности проверяют до решения о вводе?</w:t>
      </w:r>
    </w:p>
    <w:p>
      <w:pPr>
        <w:pStyle w:val="ListNumber"/>
        <w:spacing w:line="276" w:lineRule="auto"/>
      </w:pPr>
      <w:r>
        <w:rPr>
          <w:rFonts w:ascii="Times New Roman" w:hAnsi="Times New Roman"/>
          <w:sz w:val="24"/>
        </w:rPr>
        <w:t>Почему техническая исправность сама по себе не заменяет официальную поверку?</w:t>
      </w:r>
    </w:p>
    <w:p>
      <w:bookmarkStart w:id="57" w:name="toc_sec_057"/>
      <w:pPr>
        <w:pStyle w:val="Heading2"/>
        <w:spacing w:after="120" w:line="276" w:lineRule="auto"/>
      </w:pPr>
      <w:r>
        <w:rPr>
          <w:rFonts w:ascii="Times New Roman" w:hAnsi="Times New Roman"/>
          <w:b w:val="0"/>
          <w:i w:val="0"/>
          <w:sz w:val="24"/>
        </w:rPr>
        <w:t>Мини-задание</w:t>
      </w:r>
      <w:bookmarkEnd w:id="57"/>
    </w:p>
    <w:p>
      <w:pPr>
        <w:spacing w:after="120" w:line="276" w:lineRule="auto"/>
      </w:pPr>
      <w:r>
        <w:rPr>
          <w:rFonts w:ascii="Times New Roman" w:hAnsi="Times New Roman"/>
          <w:b w:val="0"/>
          <w:i w:val="0"/>
          <w:sz w:val="24"/>
        </w:rPr>
        <w:t>Составьте краткий алгоритм действий по теме занятия применительно к одному из объектов: преобразователь давления, термопреобразователь, уровнемер, вторичный прибор или газоанализатор. Отдельно укажите документы, риски, контрольные точки и вид итоговой записи.</w:t>
      </w:r>
    </w:p>
    <w:p>
      <w:r>
        <w:br w:type="page"/>
      </w:r>
    </w:p>
    <w:p>
      <w:bookmarkStart w:id="58" w:name="toc_sec_058"/>
      <w:pPr>
        <w:pStyle w:val="Heading1"/>
        <w:spacing w:after="120" w:line="276" w:lineRule="auto"/>
      </w:pPr>
      <w:r>
        <w:rPr>
          <w:rFonts w:ascii="Times New Roman" w:hAnsi="Times New Roman"/>
          <w:b w:val="0"/>
          <w:i w:val="0"/>
          <w:sz w:val="24"/>
        </w:rPr>
        <w:t>Приложение А. Итоговый алгоритм выполнения работ</w:t>
      </w:r>
      <w:bookmarkEnd w:id="58"/>
    </w:p>
    <w:p>
      <w:pPr>
        <w:pStyle w:val="ListNumber"/>
        <w:spacing w:line="276" w:lineRule="auto"/>
      </w:pPr>
      <w:r>
        <w:rPr>
          <w:rFonts w:ascii="Times New Roman" w:hAnsi="Times New Roman"/>
          <w:sz w:val="24"/>
        </w:rPr>
        <w:t>Получить задание и определить требуемый результат.</w:t>
      </w:r>
    </w:p>
    <w:p>
      <w:pPr>
        <w:pStyle w:val="ListNumber"/>
        <w:spacing w:line="276" w:lineRule="auto"/>
      </w:pPr>
      <w:r>
        <w:rPr>
          <w:rFonts w:ascii="Times New Roman" w:hAnsi="Times New Roman"/>
          <w:sz w:val="24"/>
        </w:rPr>
        <w:t>Идентифицировать прибор и проверить комплект документации.</w:t>
      </w:r>
    </w:p>
    <w:p>
      <w:pPr>
        <w:pStyle w:val="ListNumber"/>
        <w:spacing w:line="276" w:lineRule="auto"/>
      </w:pPr>
      <w:r>
        <w:rPr>
          <w:rFonts w:ascii="Times New Roman" w:hAnsi="Times New Roman"/>
          <w:sz w:val="24"/>
        </w:rPr>
        <w:t>Определить опасности, меры защиты и стоп-условия.</w:t>
      </w:r>
    </w:p>
    <w:p>
      <w:pPr>
        <w:pStyle w:val="ListNumber"/>
        <w:spacing w:line="276" w:lineRule="auto"/>
      </w:pPr>
      <w:r>
        <w:rPr>
          <w:rFonts w:ascii="Times New Roman" w:hAnsi="Times New Roman"/>
          <w:sz w:val="24"/>
        </w:rPr>
        <w:t>Подтвердить отключение энергии и безопасное состояние.</w:t>
      </w:r>
    </w:p>
    <w:p>
      <w:pPr>
        <w:pStyle w:val="ListNumber"/>
        <w:spacing w:line="276" w:lineRule="auto"/>
      </w:pPr>
      <w:r>
        <w:rPr>
          <w:rFonts w:ascii="Times New Roman" w:hAnsi="Times New Roman"/>
          <w:sz w:val="24"/>
        </w:rPr>
        <w:t>Зафиксировать исходное состояние, настройки и подключение.</w:t>
      </w:r>
    </w:p>
    <w:p>
      <w:pPr>
        <w:pStyle w:val="ListNumber"/>
        <w:spacing w:line="276" w:lineRule="auto"/>
      </w:pPr>
      <w:r>
        <w:rPr>
          <w:rFonts w:ascii="Times New Roman" w:hAnsi="Times New Roman"/>
          <w:sz w:val="24"/>
        </w:rPr>
        <w:t>Выполнить вскрытие, демонтаж, очистку и перемещение.</w:t>
      </w:r>
    </w:p>
    <w:p>
      <w:pPr>
        <w:pStyle w:val="ListNumber"/>
        <w:spacing w:line="276" w:lineRule="auto"/>
      </w:pPr>
      <w:r>
        <w:rPr>
          <w:rFonts w:ascii="Times New Roman" w:hAnsi="Times New Roman"/>
          <w:sz w:val="24"/>
        </w:rPr>
        <w:t>Подобрать пригодные средства контроля и собрать схему.</w:t>
      </w:r>
    </w:p>
    <w:p>
      <w:pPr>
        <w:pStyle w:val="ListNumber"/>
        <w:spacing w:line="276" w:lineRule="auto"/>
      </w:pPr>
      <w:r>
        <w:rPr>
          <w:rFonts w:ascii="Times New Roman" w:hAnsi="Times New Roman"/>
          <w:sz w:val="24"/>
        </w:rPr>
        <w:t>Независимо проверить схему и выполнить пробное включение.</w:t>
      </w:r>
    </w:p>
    <w:p>
      <w:pPr>
        <w:pStyle w:val="ListNumber"/>
        <w:spacing w:line="276" w:lineRule="auto"/>
      </w:pPr>
      <w:r>
        <w:rPr>
          <w:rFonts w:ascii="Times New Roman" w:hAnsi="Times New Roman"/>
          <w:sz w:val="24"/>
        </w:rPr>
        <w:t>Провести испытания в установленном объёме и сохранить первичные данные.</w:t>
      </w:r>
    </w:p>
    <w:p>
      <w:pPr>
        <w:pStyle w:val="ListNumber"/>
        <w:spacing w:line="276" w:lineRule="auto"/>
      </w:pPr>
      <w:r>
        <w:rPr>
          <w:rFonts w:ascii="Times New Roman" w:hAnsi="Times New Roman"/>
          <w:sz w:val="24"/>
        </w:rPr>
        <w:t>Оценить результаты по критериям и оформить несоответствия.</w:t>
      </w:r>
    </w:p>
    <w:p>
      <w:pPr>
        <w:pStyle w:val="ListNumber"/>
        <w:spacing w:line="276" w:lineRule="auto"/>
      </w:pPr>
      <w:r>
        <w:rPr>
          <w:rFonts w:ascii="Times New Roman" w:hAnsi="Times New Roman"/>
          <w:sz w:val="24"/>
        </w:rPr>
        <w:t>Безопасно снять воздействия, питание и разобрать стенд.</w:t>
      </w:r>
    </w:p>
    <w:p>
      <w:pPr>
        <w:pStyle w:val="ListNumber"/>
        <w:spacing w:line="276" w:lineRule="auto"/>
      </w:pPr>
      <w:r>
        <w:rPr>
          <w:rFonts w:ascii="Times New Roman" w:hAnsi="Times New Roman"/>
          <w:sz w:val="24"/>
        </w:rPr>
        <w:t>Установить прибор, выполнить контроль после монтажа.</w:t>
      </w:r>
    </w:p>
    <w:p>
      <w:pPr>
        <w:pStyle w:val="ListNumber"/>
        <w:spacing w:line="276" w:lineRule="auto"/>
      </w:pPr>
      <w:r>
        <w:rPr>
          <w:rFonts w:ascii="Times New Roman" w:hAnsi="Times New Roman"/>
          <w:sz w:val="24"/>
        </w:rPr>
        <w:t>Заполнить паспорт, протокол, акт и перечень комплектности.</w:t>
      </w:r>
    </w:p>
    <w:p>
      <w:pPr>
        <w:pStyle w:val="ListNumber"/>
        <w:spacing w:line="276" w:lineRule="auto"/>
      </w:pPr>
      <w:r>
        <w:rPr>
          <w:rFonts w:ascii="Times New Roman" w:hAnsi="Times New Roman"/>
          <w:sz w:val="24"/>
        </w:rPr>
        <w:t>Передать документы и ограничения ответственному лицу.</w:t>
      </w:r>
    </w:p>
    <w:p>
      <w:pPr>
        <w:pStyle w:val="ListNumber"/>
        <w:spacing w:line="276" w:lineRule="auto"/>
      </w:pPr>
      <w:r>
        <w:rPr>
          <w:rFonts w:ascii="Times New Roman" w:hAnsi="Times New Roman"/>
          <w:sz w:val="24"/>
        </w:rPr>
        <w:t>Ввести прибор только после подтверждения всех обязательных видов готовности.</w:t>
      </w:r>
    </w:p>
    <w:p>
      <w:bookmarkStart w:id="59" w:name="toc_sec_059"/>
      <w:pPr>
        <w:pStyle w:val="Heading1"/>
        <w:spacing w:after="120" w:line="276" w:lineRule="auto"/>
      </w:pPr>
      <w:r>
        <w:rPr>
          <w:rFonts w:ascii="Times New Roman" w:hAnsi="Times New Roman"/>
          <w:b w:val="0"/>
          <w:i w:val="0"/>
          <w:sz w:val="24"/>
        </w:rPr>
        <w:t>Приложение Б. Пример фразы для паспорта</w:t>
      </w:r>
      <w:bookmarkEnd w:id="59"/>
    </w:p>
    <w:p>
      <w:pPr>
        <w:spacing w:after="120" w:line="276" w:lineRule="auto"/>
      </w:pPr>
      <w:r>
        <w:rPr>
          <w:rFonts w:ascii="Times New Roman" w:hAnsi="Times New Roman"/>
          <w:b w:val="0"/>
          <w:i w:val="0"/>
          <w:sz w:val="24"/>
        </w:rPr>
        <w:t>«По заявке № ___ выполнены: внешний осмотр, очистка корпуса, замена клеммного блока, восстановлена маркировка цепей, проверены герметичность, выход 4–20 мА и срабатывание аварийного реле. Результаты см. в протоколе испытаний № ___. Ограничение: до официальной поверки прибор не использовать в сфере государственного регулирования.»</w:t>
      </w:r>
    </w:p>
    <w:p>
      <w:bookmarkStart w:id="60" w:name="toc_sec_060"/>
      <w:pPr>
        <w:pStyle w:val="Heading1"/>
        <w:spacing w:after="120" w:line="276" w:lineRule="auto"/>
      </w:pPr>
      <w:r>
        <w:rPr>
          <w:rFonts w:ascii="Times New Roman" w:hAnsi="Times New Roman"/>
          <w:b w:val="0"/>
          <w:i w:val="0"/>
          <w:sz w:val="24"/>
        </w:rPr>
        <w:t>Приложение В. Итоговые задания для самоконтроля</w:t>
      </w:r>
      <w:bookmarkEnd w:id="60"/>
    </w:p>
    <w:p>
      <w:pPr>
        <w:pStyle w:val="ListNumber"/>
        <w:spacing w:line="276" w:lineRule="auto"/>
      </w:pPr>
      <w:r>
        <w:rPr>
          <w:rFonts w:ascii="Times New Roman" w:hAnsi="Times New Roman"/>
          <w:sz w:val="24"/>
        </w:rPr>
        <w:t>Составьте карту подготовки рабочего места для проверки преобразователя давления.</w:t>
      </w:r>
    </w:p>
    <w:p>
      <w:pPr>
        <w:pStyle w:val="ListNumber"/>
        <w:spacing w:line="276" w:lineRule="auto"/>
      </w:pPr>
      <w:r>
        <w:rPr>
          <w:rFonts w:ascii="Times New Roman" w:hAnsi="Times New Roman"/>
          <w:sz w:val="24"/>
        </w:rPr>
        <w:t>Опишите безопасный демонтаж термопреобразователя из горячего аппарата.</w:t>
      </w:r>
    </w:p>
    <w:p>
      <w:pPr>
        <w:pStyle w:val="ListNumber"/>
        <w:spacing w:line="276" w:lineRule="auto"/>
      </w:pPr>
      <w:r>
        <w:rPr>
          <w:rFonts w:ascii="Times New Roman" w:hAnsi="Times New Roman"/>
          <w:sz w:val="24"/>
        </w:rPr>
        <w:t>Нарисуйте схему проверки входа 4–20 мА с калибратором в режиме источника.</w:t>
      </w:r>
    </w:p>
    <w:p>
      <w:pPr>
        <w:pStyle w:val="ListNumber"/>
        <w:spacing w:line="276" w:lineRule="auto"/>
      </w:pPr>
      <w:r>
        <w:rPr>
          <w:rFonts w:ascii="Times New Roman" w:hAnsi="Times New Roman"/>
          <w:sz w:val="24"/>
        </w:rPr>
        <w:t>Рассчитайте токи для точек 0, 25, 50, 75 и 100 процентов диапазона.</w:t>
      </w:r>
    </w:p>
    <w:p>
      <w:pPr>
        <w:pStyle w:val="ListNumber"/>
        <w:spacing w:line="276" w:lineRule="auto"/>
      </w:pPr>
      <w:r>
        <w:rPr>
          <w:rFonts w:ascii="Times New Roman" w:hAnsi="Times New Roman"/>
          <w:sz w:val="24"/>
        </w:rPr>
        <w:t>Сформулируйте действия при обнаружении одной точки вне допуска.</w:t>
      </w:r>
    </w:p>
    <w:p>
      <w:pPr>
        <w:pStyle w:val="ListNumber"/>
        <w:spacing w:line="276" w:lineRule="auto"/>
      </w:pPr>
      <w:r>
        <w:rPr>
          <w:rFonts w:ascii="Times New Roman" w:hAnsi="Times New Roman"/>
          <w:sz w:val="24"/>
        </w:rPr>
        <w:t>Составьте запись в паспорт после замены клеммного блока и проверки канала.</w:t>
      </w:r>
    </w:p>
    <w:p>
      <w:pPr>
        <w:pStyle w:val="ListNumber"/>
        <w:spacing w:line="276" w:lineRule="auto"/>
      </w:pPr>
      <w:r>
        <w:rPr>
          <w:rFonts w:ascii="Times New Roman" w:hAnsi="Times New Roman"/>
          <w:sz w:val="24"/>
        </w:rPr>
        <w:t>Сформулируйте ограничение для прибора, ожидающего официальной поверки.</w:t>
      </w:r>
    </w:p>
    <w:p>
      <w:pPr>
        <w:pStyle w:val="ListNumber"/>
        <w:spacing w:line="276" w:lineRule="auto"/>
      </w:pPr>
      <w:r>
        <w:rPr>
          <w:rFonts w:ascii="Times New Roman" w:hAnsi="Times New Roman"/>
          <w:sz w:val="24"/>
        </w:rPr>
        <w:t>Перечислите документы, которые передают вместе с опытным прибором.</w:t>
      </w:r>
    </w:p>
    <w:p>
      <w:pPr>
        <w:pStyle w:val="ListNumber"/>
        <w:spacing w:line="276" w:lineRule="auto"/>
      </w:pPr>
      <w:r>
        <w:rPr>
          <w:rFonts w:ascii="Times New Roman" w:hAnsi="Times New Roman"/>
          <w:sz w:val="24"/>
        </w:rPr>
        <w:t>Объясните разницу между положительным испытанием и разрешением на ввод.</w:t>
      </w:r>
    </w:p>
    <w:p>
      <w:pPr>
        <w:pStyle w:val="ListNumber"/>
        <w:spacing w:line="276" w:lineRule="auto"/>
      </w:pPr>
      <w:r>
        <w:rPr>
          <w:rFonts w:ascii="Times New Roman" w:hAnsi="Times New Roman"/>
          <w:sz w:val="24"/>
        </w:rPr>
        <w:t>Назовите данные, обеспечивающие полную прослеживаемость результата.</w:t>
      </w:r>
    </w:p>
    <w:p>
      <w:pPr>
        <w:spacing w:before="80"/>
      </w:pPr>
      <w:r>
        <w:rPr>
          <w:rFonts w:ascii="Times New Roman" w:hAnsi="Times New Roman"/>
          <w:i/>
          <w:sz w:val="21"/>
        </w:rPr>
        <w:t>Примечание к иллюстрациям: векторные оригиналы всех схем в формате SVG входят в комплект темы 1.4 и предназначены также для размещения на учебном сайте.</w:t>
      </w:r>
    </w:p>
    <w:p>
      <w:bookmarkStart w:id="61" w:name="toc_sec_061"/>
      <w:pPr>
        <w:pStyle w:val="Heading1"/>
        <w:spacing w:after="120" w:line="276" w:lineRule="auto"/>
      </w:pPr>
      <w:r>
        <w:rPr>
          <w:rFonts w:ascii="Times New Roman" w:hAnsi="Times New Roman"/>
          <w:b w:val="0"/>
          <w:i w:val="0"/>
          <w:sz w:val="24"/>
        </w:rPr>
        <w:t>Нормативная и учебная основа</w:t>
      </w:r>
      <w:bookmarkEnd w:id="61"/>
    </w:p>
    <w:p>
      <w:pPr>
        <w:pStyle w:val="ListBullet"/>
        <w:spacing w:line="276" w:lineRule="auto"/>
      </w:pPr>
      <w:r>
        <w:rPr>
          <w:rFonts w:ascii="Times New Roman" w:hAnsi="Times New Roman"/>
          <w:sz w:val="24"/>
        </w:rPr>
        <w:t>Федеральный закон от 26.06.2008 № 102-ФЗ «Об обеспечении единства измерений».</w:t>
      </w:r>
    </w:p>
    <w:p>
      <w:pPr>
        <w:pStyle w:val="ListBullet"/>
        <w:spacing w:line="276" w:lineRule="auto"/>
      </w:pPr>
      <w:r>
        <w:rPr>
          <w:rFonts w:ascii="Times New Roman" w:hAnsi="Times New Roman"/>
          <w:sz w:val="24"/>
        </w:rPr>
        <w:t>Приказ Минпромторга России от 31.07.2020 № 2510.</w:t>
      </w:r>
    </w:p>
    <w:p>
      <w:pPr>
        <w:pStyle w:val="ListBullet"/>
        <w:spacing w:line="276" w:lineRule="auto"/>
      </w:pPr>
      <w:r>
        <w:rPr>
          <w:rFonts w:ascii="Times New Roman" w:hAnsi="Times New Roman"/>
          <w:sz w:val="24"/>
        </w:rPr>
        <w:t>Приказ Минпромторга России от 28.08.2020 № 2905.</w:t>
      </w:r>
    </w:p>
    <w:p>
      <w:pPr>
        <w:pStyle w:val="ListBullet"/>
        <w:spacing w:line="276" w:lineRule="auto"/>
      </w:pPr>
      <w:r>
        <w:rPr>
          <w:rFonts w:ascii="Times New Roman" w:hAnsi="Times New Roman"/>
          <w:sz w:val="24"/>
        </w:rPr>
        <w:t>Приказ Минтруда России от 15.12.2020 № 903н.</w:t>
      </w:r>
    </w:p>
    <w:p>
      <w:pPr>
        <w:pStyle w:val="ListBullet"/>
        <w:spacing w:line="276" w:lineRule="auto"/>
      </w:pPr>
      <w:r>
        <w:rPr>
          <w:rFonts w:ascii="Times New Roman" w:hAnsi="Times New Roman"/>
          <w:sz w:val="24"/>
        </w:rPr>
        <w:t>Федеральный информационный фонд по обеспечению единства измерений.</w:t>
      </w:r>
    </w:p>
    <w:p>
      <w:pPr>
        <w:pStyle w:val="ListBullet"/>
        <w:spacing w:line="276" w:lineRule="auto"/>
      </w:pPr>
      <w:r>
        <w:rPr>
          <w:rFonts w:ascii="Times New Roman" w:hAnsi="Times New Roman"/>
          <w:sz w:val="24"/>
        </w:rPr>
        <w:t>КУПД «Слесарь по контрольно-измерительным приборам и автоматике», 6-й разряд, тема 1.4.</w:t>
      </w:r>
    </w:p>
    <w:p>
      <w:pPr>
        <w:spacing w:after="120" w:line="276" w:lineRule="auto"/>
      </w:pPr>
      <w:r>
        <w:rPr>
          <w:rFonts w:ascii="Times New Roman" w:hAnsi="Times New Roman"/>
          <w:b w:val="0"/>
          <w:i w:val="0"/>
          <w:sz w:val="24"/>
        </w:rPr>
        <w:t>Примечание по актуальности: перед использованием материала необходимо проверять действующие редакции нормативных актов и приоритет требований конкретной методики, программы испытаний и эксплуатационной документации.</w:t>
      </w:r>
    </w:p>
    <w:sectPr w:rsidR="00FC693F" w:rsidRPr="0006063C" w:rsidSect="00034616">
      <w:footerReference w:type="default" r:id="rId9"/>
      <w:pgSz w:w="11906" w:h="16838"/>
      <w:pgMar w:top="1134" w:right="1134"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lang w:val="ru-RU" w:eastAsia="ru-RU" w:bidi="ru-RU"/>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32"/>
      <w:szCs w:val="28"/>
      <w:lang w:val="ru-RU" w:eastAsia="ru-RU" w:bidi="ru-RU"/>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8"/>
      <w:szCs w:val="26"/>
      <w:lang w:val="ru-RU" w:eastAsia="ru-RU" w:bidi="ru-RU"/>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b/>
      <w:bCs/>
      <w:color w:val="4F81BD" w:themeColor="accent1"/>
      <w:sz w:val="24"/>
      <w:lang w:val="ru-RU" w:eastAsia="ru-RU" w:bidi="ru-RU"/>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17365D" w:themeColor="text2" w:themeShade="BF"/>
      <w:spacing w:val="5"/>
      <w:kern w:val="28"/>
      <w:sz w:val="40"/>
      <w:szCs w:val="52"/>
      <w:lang w:val="ru-RU" w:eastAsia="ru-RU" w:bidi="ru-RU"/>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