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Методические указания преподавателю</w:t>
        <w:br/>
        <w:t>Тема 1.2. Юстировка и техническое обслуживание уникальных, опытных и экспериментальных контрольно-измерительных приборов</w:t>
      </w:r>
    </w:p>
    <w:p>
      <w:pPr>
        <w:jc w:val="center"/>
      </w:pPr>
      <w:r>
        <w:rPr>
          <w:b/>
        </w:rPr>
        <w:t>МДК.01.01 · Слесарь по КИПиА 6-го разряда</w:t>
      </w:r>
    </w:p>
    <w:p>
      <w:pPr>
        <w:jc w:val="center"/>
      </w:pPr>
      <w:r>
        <w:rPr>
          <w:i/>
        </w:rPr>
        <w:t>Основа: КУПД от 21.04.2026 № УПД-15, раздел по МДК.01.01 для 6-го разряда.</w:t>
      </w:r>
    </w:p>
    <w:p/>
    <w:p>
      <w:pPr>
        <w:pStyle w:val="Heading1"/>
      </w:pPr>
      <w:r>
        <w:t>1. Назначение комплекта</w:t>
      </w:r>
    </w:p>
    <w:p>
      <w:r>
        <w:t>Материалы предназначены для проведения индивидуальной консультации и лабораторно-практической отработки темы 1.2 МДК.01.01 для слесаря по КИПиА 6-го разряда.</w:t>
      </w:r>
    </w:p>
    <w:p>
      <w:pPr>
        <w:pStyle w:val="Heading1"/>
      </w:pPr>
      <w:r>
        <w:t>2. Что обязательно раскрыть</w:t>
      </w:r>
    </w:p>
    <w:p>
      <w:pPr>
        <w:pStyle w:val="ListBullet"/>
      </w:pPr>
      <w:r>
        <w:t>подбор средств измерений, оборудования и инструмента;</w:t>
      </w:r>
    </w:p>
    <w:p>
      <w:pPr>
        <w:pStyle w:val="ListBullet"/>
      </w:pPr>
      <w:r>
        <w:t>фиксацию исходного состояния до вмешательства;</w:t>
      </w:r>
    </w:p>
    <w:p>
      <w:pPr>
        <w:pStyle w:val="ListBullet"/>
      </w:pPr>
      <w:r>
        <w:t>проверку уставок срабатывания;</w:t>
      </w:r>
    </w:p>
    <w:p>
      <w:pPr>
        <w:pStyle w:val="ListBullet"/>
      </w:pPr>
      <w:r>
        <w:t>осмотр, герметичность, изоляцию, очистку и регламентные операции ТО;</w:t>
      </w:r>
    </w:p>
    <w:p>
      <w:pPr>
        <w:pStyle w:val="ListBullet"/>
      </w:pPr>
      <w:r>
        <w:t>межремонтное обслуживание, плановый осмотр, регулировку и ревизию;</w:t>
      </w:r>
    </w:p>
    <w:p>
      <w:pPr>
        <w:pStyle w:val="ListBullet"/>
      </w:pPr>
      <w:r>
        <w:t>балансировку, проверку сигнализации, обслуживание обмоток, чувствительных элементов и осушителей;</w:t>
      </w:r>
    </w:p>
    <w:p>
      <w:pPr>
        <w:pStyle w:val="ListBullet"/>
      </w:pPr>
      <w:r>
        <w:t>проверку электрических цепей, дросселей, редукционных узлов и электродвигателей.</w:t>
      </w:r>
    </w:p>
    <w:p>
      <w:pPr>
        <w:pStyle w:val="Heading1"/>
      </w:pPr>
      <w:r>
        <w:t>3. Организация практики</w:t>
      </w:r>
    </w:p>
    <w:p>
      <w:r>
        <w:t>Практическую часть целесообразно проводить как две связанные задачи: сначала юстировка измерительного преобразователя по нескольким контрольным точкам, затем комплексное ТО по производственной ситуации. В обоих случаях обучающийся сначала фиксирует исходные данные.</w:t>
      </w:r>
    </w:p>
    <w:p>
      <w:pPr>
        <w:pStyle w:val="Heading1"/>
      </w:pPr>
      <w:r>
        <w:t>4. Использование тренажёра</w:t>
      </w:r>
    </w:p>
    <w:p>
      <w:r>
        <w:t>Для темы 1.2 используется существующий тренажёр «Техническое обслуживание КИП особой сложности» в контексте 6-го разряда: /maintenance.php?context=grade6-topic12. Он закрепляет подготовку, диагностику, регулировку датчика, настройку преобразователя, выбор решения по дефектному узлу и оформление результата.</w:t>
      </w:r>
    </w:p>
    <w:p>
      <w:pPr>
        <w:pStyle w:val="Heading1"/>
      </w:pPr>
      <w:r>
        <w:t>5. Рекомендуемые вопросы преподавателя</w:t>
      </w:r>
    </w:p>
    <w:p>
      <w:pPr>
        <w:pStyle w:val="ListNumber"/>
      </w:pPr>
      <w:r>
        <w:t>Почему нельзя начинать регулировку до фиксации исходного состояния?</w:t>
      </w:r>
    </w:p>
    <w:p>
      <w:pPr>
        <w:pStyle w:val="ListNumber"/>
      </w:pPr>
      <w:r>
        <w:t>Как отличить ошибку нуля от ошибки диапазона?</w:t>
      </w:r>
    </w:p>
    <w:p>
      <w:pPr>
        <w:pStyle w:val="ListNumber"/>
      </w:pPr>
      <w:r>
        <w:t>Какие признаки указывают на необходимость проверки герметичности?</w:t>
      </w:r>
    </w:p>
    <w:p>
      <w:pPr>
        <w:pStyle w:val="ListNumber"/>
      </w:pPr>
      <w:r>
        <w:t>Что даёт пирометр при инструментальном осмотре?</w:t>
      </w:r>
    </w:p>
    <w:p>
      <w:pPr>
        <w:pStyle w:val="ListNumber"/>
      </w:pPr>
      <w:r>
        <w:t>Почему исправное измерение ещё не означает завершённое ТО?</w:t>
      </w:r>
    </w:p>
    <w:p>
      <w:pPr>
        <w:pStyle w:val="ListNumber"/>
      </w:pPr>
      <w:r>
        <w:t>В каких случаях нужно рассматривать восстановление, а в каких замену детали?</w:t>
      </w:r>
    </w:p>
    <w:p>
      <w:pPr>
        <w:pStyle w:val="ListNumber"/>
      </w:pPr>
      <w:r>
        <w:t>Как подтвердить результат юстировки?</w:t>
      </w:r>
    </w:p>
    <w:p>
      <w:pPr>
        <w:pStyle w:val="Heading1"/>
      </w:pPr>
      <w:r>
        <w:t>6. Критерии освоения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185"/>
        <w:gridCol w:w="5185"/>
      </w:tblGrid>
      <w:tr>
        <w:trPr>
          <w:tblHeader w:val="true"/>
        </w:trPr>
        <w:tc>
          <w:tcPr>
            <w:tcW w:type="dxa" w:w="5185"/>
            <w:vAlign w:val="center"/>
            <w:shd w:fill="D9EAF7"/>
          </w:tcPr>
          <w:p>
            <w:r>
              <w:rPr>
                <w:b/>
              </w:rPr>
              <w:t>Критерий</w:t>
            </w:r>
          </w:p>
        </w:tc>
        <w:tc>
          <w:tcPr>
            <w:tcW w:type="dxa" w:w="5185"/>
            <w:vAlign w:val="center"/>
            <w:shd w:fill="D9EAF7"/>
          </w:tcPr>
          <w:p>
            <w:r>
              <w:rPr>
                <w:b/>
              </w:rPr>
              <w:t>Признак освоения</w:t>
            </w:r>
          </w:p>
        </w:tc>
      </w:tr>
      <w:tr>
        <w:tc>
          <w:tcPr>
            <w:tcW w:type="dxa" w:w="5185"/>
            <w:vAlign w:val="center"/>
          </w:tcPr>
          <w:p>
            <w:r>
              <w:t>Подготовка</w:t>
            </w:r>
          </w:p>
        </w:tc>
        <w:tc>
          <w:tcPr>
            <w:tcW w:type="dxa" w:w="5185"/>
            <w:vAlign w:val="center"/>
          </w:tcPr>
          <w:p>
            <w:r>
              <w:t>Выбраны необходимые средства и определены опасности.</w:t>
            </w:r>
          </w:p>
        </w:tc>
      </w:tr>
      <w:tr>
        <w:tc>
          <w:tcPr>
            <w:tcW w:type="dxa" w:w="5185"/>
            <w:vAlign w:val="center"/>
          </w:tcPr>
          <w:p>
            <w:r>
              <w:t>Диагностика</w:t>
            </w:r>
          </w:p>
        </w:tc>
        <w:tc>
          <w:tcPr>
            <w:tcW w:type="dxa" w:w="5185"/>
            <w:vAlign w:val="center"/>
          </w:tcPr>
          <w:p>
            <w:r>
              <w:t>Исходное состояние зафиксировано, дефект локализуется последовательно.</w:t>
            </w:r>
          </w:p>
        </w:tc>
      </w:tr>
      <w:tr>
        <w:tc>
          <w:tcPr>
            <w:tcW w:type="dxa" w:w="5185"/>
            <w:vAlign w:val="center"/>
          </w:tcPr>
          <w:p>
            <w:r>
              <w:t>Юстировка</w:t>
            </w:r>
          </w:p>
        </w:tc>
        <w:tc>
          <w:tcPr>
            <w:tcW w:type="dxa" w:w="5185"/>
            <w:vAlign w:val="center"/>
          </w:tcPr>
          <w:p>
            <w:r>
              <w:t>Коррекция выполняется осознанно, результат подтверждён контрольными точками.</w:t>
            </w:r>
          </w:p>
        </w:tc>
      </w:tr>
      <w:tr>
        <w:tc>
          <w:tcPr>
            <w:tcW w:type="dxa" w:w="5185"/>
            <w:vAlign w:val="center"/>
          </w:tcPr>
          <w:p>
            <w:r>
              <w:t>ТО</w:t>
            </w:r>
          </w:p>
        </w:tc>
        <w:tc>
          <w:tcPr>
            <w:tcW w:type="dxa" w:w="5185"/>
            <w:vAlign w:val="center"/>
          </w:tcPr>
          <w:p>
            <w:r>
              <w:t>Учтены осмотр, очистка, герметичность, изоляция и регламентные операции.</w:t>
            </w:r>
          </w:p>
        </w:tc>
      </w:tr>
      <w:tr>
        <w:tc>
          <w:tcPr>
            <w:tcW w:type="dxa" w:w="5185"/>
            <w:vAlign w:val="center"/>
          </w:tcPr>
          <w:p>
            <w:r>
              <w:t>Функциональная проверка</w:t>
            </w:r>
          </w:p>
        </w:tc>
        <w:tc>
          <w:tcPr>
            <w:tcW w:type="dxa" w:w="5185"/>
            <w:vAlign w:val="center"/>
          </w:tcPr>
          <w:p>
            <w:r>
              <w:t>Проверены измерение, уставки и сигнализация.</w:t>
            </w:r>
          </w:p>
        </w:tc>
      </w:tr>
      <w:tr>
        <w:tc>
          <w:tcPr>
            <w:tcW w:type="dxa" w:w="5185"/>
            <w:vAlign w:val="center"/>
          </w:tcPr>
          <w:p>
            <w:r>
              <w:t>Документирование</w:t>
            </w:r>
          </w:p>
        </w:tc>
        <w:tc>
          <w:tcPr>
            <w:tcW w:type="dxa" w:w="5185"/>
            <w:vAlign w:val="center"/>
          </w:tcPr>
          <w:p>
            <w:r>
              <w:t>Сформулирован понятный итоговый вывод.</w:t>
            </w:r>
          </w:p>
        </w:tc>
      </w:tr>
    </w:tbl>
    <w:p>
      <w:pPr>
        <w:pStyle w:val="Heading1"/>
      </w:pPr>
      <w:r>
        <w:t>7. Ограничения</w:t>
      </w:r>
    </w:p>
    <w:p>
      <w:r>
        <w:t>Учебные задания не заменяют эксплуатационную, ремонтную и метрологическую документацию конкретного КИП. Реальные операции выполняются по документации изготовителя и действующим процедурам предприятия.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50" w:right="85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sz w:val="16"/>
      </w:rPr>
      <w:t xml:space="preserve">МДК.01.01 · 6-й разряд · Тема 1.2 · </w:t>
    </w:r>
    <w:r>
      <w:fldChar w:fldCharType="begin"/>
      <w:instrText xml:space="preserve"> PAGE </w:instrText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center"/>
    </w:pPr>
    <w:r>
      <w:rPr>
        <w:sz w:val="16"/>
      </w:rPr>
      <w:t>КИПиА ЯМАЛ · Учебно-методический комплект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Liberation Sans" w:hAnsi="Liberation Sans" w:eastAsia="Liberation Sans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Liberation Sans" w:hAnsi="Liberation Sans" w:eastAsia="Liberation Sans"/>
      <w:b/>
      <w:bCs/>
      <w:color w:val="365F91" w:themeColor="accent1" w:themeShade="BF"/>
      <w:sz w:val="3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Liberation Sans" w:hAnsi="Liberation Sans" w:eastAsia="Liberation Sans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Liberation Sans" w:hAnsi="Liberation Sans" w:eastAsia="Liberation Sans"/>
      <w:b/>
      <w:bCs/>
      <w:color w:val="4F81BD" w:themeColor="accent1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Liberation Sans" w:hAnsi="Liberation Sans" w:eastAsia="Liberation Sans"/>
      <w:b/>
      <w:color w:val="17365D" w:themeColor="text2" w:themeShade="B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