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Лабораторно-практические занятия</w:t>
        <w:br/>
        <w:t>Тема 1.2. Юстировка и техническое обслуживание уникальных, опытных и экспериментальных контрольно-измерительных приборов</w:t>
      </w:r>
    </w:p>
    <w:p>
      <w:pPr>
        <w:jc w:val="center"/>
      </w:pPr>
      <w:r>
        <w:rPr>
          <w:b/>
        </w:rPr>
        <w:t>МДК.01.01 · Слесарь по КИПиА 6-го разряда</w:t>
      </w:r>
    </w:p>
    <w:p>
      <w:pPr>
        <w:jc w:val="center"/>
      </w:pPr>
      <w:r>
        <w:rPr>
          <w:i/>
        </w:rPr>
        <w:t>Основа: КУПД от 21.04.2026 № УПД-15, раздел по МДК.01.01 для 6-го разряда.</w:t>
      </w:r>
    </w:p>
    <w:p/>
    <w:p>
      <w:pPr>
        <w:pStyle w:val="Heading1"/>
      </w:pPr>
      <w:r>
        <w:t>ЛПЗ №1. Юстировка измерительного преобразователя</w:t>
      </w:r>
    </w:p>
    <w:p>
      <w:r>
        <w:t>Цель: определить характер отклонения преобразователя, выполнить условную коррекцию нуля/диапазона и подтвердить результат по контрольным точкам.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57"/>
        <w:gridCol w:w="3457"/>
        <w:gridCol w:w="3457"/>
      </w:tblGrid>
      <w:tr>
        <w:trPr>
          <w:tblHeader w:val="true"/>
        </w:trPr>
        <w:tc>
          <w:tcPr>
            <w:tcW w:type="dxa" w:w="3457"/>
            <w:vAlign w:val="center"/>
            <w:shd w:fill="D9EAF7"/>
          </w:tcPr>
          <w:p>
            <w:r>
              <w:rPr>
                <w:b/>
              </w:rPr>
              <w:t>Входное давление</w:t>
            </w:r>
          </w:p>
        </w:tc>
        <w:tc>
          <w:tcPr>
            <w:tcW w:type="dxa" w:w="3457"/>
            <w:vAlign w:val="center"/>
            <w:shd w:fill="D9EAF7"/>
          </w:tcPr>
          <w:p>
            <w:r>
              <w:rPr>
                <w:b/>
              </w:rPr>
              <w:t>Расчётный выход</w:t>
            </w:r>
          </w:p>
        </w:tc>
        <w:tc>
          <w:tcPr>
            <w:tcW w:type="dxa" w:w="3457"/>
            <w:vAlign w:val="center"/>
            <w:shd w:fill="D9EAF7"/>
          </w:tcPr>
          <w:p>
            <w:r>
              <w:rPr>
                <w:b/>
              </w:rPr>
              <w:t>Фактический выход</w:t>
            </w:r>
          </w:p>
        </w:tc>
      </w:tr>
      <w:tr>
        <w:tc>
          <w:tcPr>
            <w:tcW w:type="dxa" w:w="3457"/>
            <w:vAlign w:val="center"/>
          </w:tcPr>
          <w:p>
            <w:r>
              <w:t>0 МПа</w:t>
            </w:r>
          </w:p>
        </w:tc>
        <w:tc>
          <w:tcPr>
            <w:tcW w:type="dxa" w:w="3457"/>
            <w:vAlign w:val="center"/>
          </w:tcPr>
          <w:p>
            <w:r>
              <w:t>4,00 мА</w:t>
            </w:r>
          </w:p>
        </w:tc>
        <w:tc>
          <w:tcPr>
            <w:tcW w:type="dxa" w:w="3457"/>
            <w:vAlign w:val="center"/>
          </w:tcPr>
          <w:p>
            <w:r>
              <w:t>4,24 мА</w:t>
            </w:r>
          </w:p>
        </w:tc>
      </w:tr>
      <w:tr>
        <w:tc>
          <w:tcPr>
            <w:tcW w:type="dxa" w:w="3457"/>
            <w:vAlign w:val="center"/>
          </w:tcPr>
          <w:p>
            <w:r>
              <w:t>5 МПа</w:t>
            </w:r>
          </w:p>
        </w:tc>
        <w:tc>
          <w:tcPr>
            <w:tcW w:type="dxa" w:w="3457"/>
            <w:vAlign w:val="center"/>
          </w:tcPr>
          <w:p>
            <w:r>
              <w:t>12,00 мА</w:t>
            </w:r>
          </w:p>
        </w:tc>
        <w:tc>
          <w:tcPr>
            <w:tcW w:type="dxa" w:w="3457"/>
            <w:vAlign w:val="center"/>
          </w:tcPr>
          <w:p>
            <w:r>
              <w:t>12,10 мА</w:t>
            </w:r>
          </w:p>
        </w:tc>
      </w:tr>
      <w:tr>
        <w:tc>
          <w:tcPr>
            <w:tcW w:type="dxa" w:w="3457"/>
            <w:vAlign w:val="center"/>
          </w:tcPr>
          <w:p>
            <w:r>
              <w:t>10 МПа</w:t>
            </w:r>
          </w:p>
        </w:tc>
        <w:tc>
          <w:tcPr>
            <w:tcW w:type="dxa" w:w="3457"/>
            <w:vAlign w:val="center"/>
          </w:tcPr>
          <w:p>
            <w:r>
              <w:t>20,00 мА</w:t>
            </w:r>
          </w:p>
        </w:tc>
        <w:tc>
          <w:tcPr>
            <w:tcW w:type="dxa" w:w="3457"/>
            <w:vAlign w:val="center"/>
          </w:tcPr>
          <w:p>
            <w:r>
              <w:t>19,72 мА</w:t>
            </w:r>
          </w:p>
        </w:tc>
      </w:tr>
    </w:tbl>
    <w:p>
      <w:pPr>
        <w:pStyle w:val="Heading2"/>
      </w:pPr>
      <w:r>
        <w:t>Порядок работы</w:t>
      </w:r>
    </w:p>
    <w:p>
      <w:pPr>
        <w:pStyle w:val="ListNumber"/>
      </w:pPr>
      <w:r>
        <w:t>Зафиксировать исходные данные без изменения настроек.</w:t>
      </w:r>
    </w:p>
    <w:p>
      <w:pPr>
        <w:pStyle w:val="ListNumber"/>
      </w:pPr>
      <w:r>
        <w:t>Определить характер отклонения: ноль, диапазон или сочетание отклонений.</w:t>
      </w:r>
    </w:p>
    <w:p>
      <w:pPr>
        <w:pStyle w:val="ListNumber"/>
      </w:pPr>
      <w:r>
        <w:t>Выбрать последовательность регулировки.</w:t>
      </w:r>
    </w:p>
    <w:p>
      <w:pPr>
        <w:pStyle w:val="ListNumber"/>
      </w:pPr>
      <w:r>
        <w:t>Выполнить условную коррекцию.</w:t>
      </w:r>
    </w:p>
    <w:p>
      <w:pPr>
        <w:pStyle w:val="ListNumber"/>
      </w:pPr>
      <w:r>
        <w:t>Проверить 0 %, 50 % и 100 % диапазона, затем промежуточные точки.</w:t>
      </w:r>
    </w:p>
    <w:p>
      <w:pPr>
        <w:pStyle w:val="ListNumber"/>
      </w:pPr>
      <w:r>
        <w:t>Сделать заключение.</w:t>
      </w:r>
    </w:p>
    <w:p>
      <w:pPr>
        <w:pStyle w:val="Heading2"/>
      </w:pPr>
      <w:r>
        <w:t>Таблица результатов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074"/>
        <w:gridCol w:w="2074"/>
        <w:gridCol w:w="2074"/>
        <w:gridCol w:w="2074"/>
        <w:gridCol w:w="2074"/>
      </w:tblGrid>
      <w:tr>
        <w:trPr>
          <w:tblHeader w:val="true"/>
        </w:trPr>
        <w:tc>
          <w:tcPr>
            <w:tcW w:type="dxa" w:w="2074"/>
            <w:vAlign w:val="center"/>
            <w:shd w:fill="D9EAF7"/>
          </w:tcPr>
          <w:p>
            <w:r>
              <w:rPr>
                <w:b/>
              </w:rPr>
              <w:t>Точка</w:t>
            </w:r>
          </w:p>
        </w:tc>
        <w:tc>
          <w:tcPr>
            <w:tcW w:type="dxa" w:w="2074"/>
            <w:vAlign w:val="center"/>
            <w:shd w:fill="D9EAF7"/>
          </w:tcPr>
          <w:p>
            <w:r>
              <w:rPr>
                <w:b/>
              </w:rPr>
              <w:t>До юстировки</w:t>
            </w:r>
          </w:p>
        </w:tc>
        <w:tc>
          <w:tcPr>
            <w:tcW w:type="dxa" w:w="2074"/>
            <w:vAlign w:val="center"/>
            <w:shd w:fill="D9EAF7"/>
          </w:tcPr>
          <w:p>
            <w:r>
              <w:rPr>
                <w:b/>
              </w:rPr>
              <w:t>После юстировки</w:t>
            </w:r>
          </w:p>
        </w:tc>
        <w:tc>
          <w:tcPr>
            <w:tcW w:type="dxa" w:w="2074"/>
            <w:vAlign w:val="center"/>
            <w:shd w:fill="D9EAF7"/>
          </w:tcPr>
          <w:p>
            <w:r>
              <w:rPr>
                <w:b/>
              </w:rPr>
              <w:t>Отклонение</w:t>
            </w:r>
          </w:p>
        </w:tc>
        <w:tc>
          <w:tcPr>
            <w:tcW w:type="dxa" w:w="2074"/>
            <w:vAlign w:val="center"/>
            <w:shd w:fill="D9EAF7"/>
          </w:tcPr>
          <w:p>
            <w:r>
              <w:rPr>
                <w:b/>
              </w:rPr>
              <w:t>Вывод</w:t>
            </w:r>
          </w:p>
        </w:tc>
      </w:tr>
      <w:tr>
        <w:tc>
          <w:tcPr>
            <w:tcW w:type="dxa" w:w="2074"/>
            <w:vAlign w:val="center"/>
          </w:tcPr>
          <w:p>
            <w:r>
              <w:t>0 %</w:t>
            </w:r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</w:tr>
      <w:tr>
        <w:tc>
          <w:tcPr>
            <w:tcW w:type="dxa" w:w="2074"/>
            <w:vAlign w:val="center"/>
          </w:tcPr>
          <w:p>
            <w:r>
              <w:t>25 %</w:t>
            </w:r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</w:tr>
      <w:tr>
        <w:tc>
          <w:tcPr>
            <w:tcW w:type="dxa" w:w="2074"/>
            <w:vAlign w:val="center"/>
          </w:tcPr>
          <w:p>
            <w:r>
              <w:t>50 %</w:t>
            </w:r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</w:tr>
      <w:tr>
        <w:tc>
          <w:tcPr>
            <w:tcW w:type="dxa" w:w="2074"/>
            <w:vAlign w:val="center"/>
          </w:tcPr>
          <w:p>
            <w:r>
              <w:t>75 %</w:t>
            </w:r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</w:tr>
      <w:tr>
        <w:tc>
          <w:tcPr>
            <w:tcW w:type="dxa" w:w="2074"/>
            <w:vAlign w:val="center"/>
          </w:tcPr>
          <w:p>
            <w:r>
              <w:t>100 %</w:t>
            </w:r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</w:tr>
    </w:tbl>
    <w:p>
      <w:pPr>
        <w:pStyle w:val="Heading1"/>
      </w:pPr>
      <w:r>
        <w:t>ЛПЗ №2. Техническое обслуживание по производственной ситуации</w:t>
      </w:r>
    </w:p>
    <w:p>
      <w:r>
        <w:t>Ситуация: обнаружены следы масла, конденсат в клеммной коробке, локальный нагрев одной клеммы, повреждение наружной изоляции кабеля и нестабильное срабатывание сигнализации.</w:t>
      </w:r>
    </w:p>
    <w:p>
      <w:pPr/>
      <w:r>
        <w:t>1. Обеспечить безопасное состояние оборудования.</w:t>
      </w:r>
    </w:p>
    <w:p>
      <w:pPr/>
      <w:r>
        <w:t>2. Зафиксировать исходные признаки и параметры.</w:t>
      </w:r>
    </w:p>
    <w:p>
      <w:pPr/>
      <w:r>
        <w:t>3. Выполнить внешний осмотр.</w:t>
      </w:r>
    </w:p>
    <w:p>
      <w:pPr/>
      <w:r>
        <w:t>4. Определить источник масла/влаги и проверить герметичность.</w:t>
      </w:r>
    </w:p>
    <w:p>
      <w:pPr/>
      <w:r>
        <w:t>5. Проверить клеммное соединение и причину нагрева.</w:t>
      </w:r>
    </w:p>
    <w:p>
      <w:pPr/>
      <w:r>
        <w:t>6. Оценить повреждение изоляции.</w:t>
      </w:r>
    </w:p>
    <w:p>
      <w:pPr/>
      <w:r>
        <w:t>7. Выполнить необходимые операции ТО.</w:t>
      </w:r>
    </w:p>
    <w:p>
      <w:pPr/>
      <w:r>
        <w:t>8. Проверить уставку и сигнальное устройство.</w:t>
      </w:r>
    </w:p>
    <w:p>
      <w:pPr/>
      <w:r>
        <w:t>9. Выполнить контроль после ТО и оформить результат.</w:t>
      </w:r>
    </w:p>
    <w:p>
      <w:pPr>
        <w:pStyle w:val="Heading2"/>
      </w:pPr>
      <w:r>
        <w:t>Контрольная ведомость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92"/>
        <w:gridCol w:w="2592"/>
        <w:gridCol w:w="2592"/>
        <w:gridCol w:w="2592"/>
      </w:tblGrid>
      <w:tr>
        <w:trPr>
          <w:tblHeader w:val="true"/>
        </w:trPr>
        <w:tc>
          <w:tcPr>
            <w:tcW w:type="dxa" w:w="2592"/>
            <w:vAlign w:val="center"/>
            <w:shd w:fill="D9EAF7"/>
          </w:tcPr>
          <w:p>
            <w:r>
              <w:rPr>
                <w:b/>
              </w:rPr>
              <w:t>Контролируемый признак</w:t>
            </w:r>
          </w:p>
        </w:tc>
        <w:tc>
          <w:tcPr>
            <w:tcW w:type="dxa" w:w="2592"/>
            <w:vAlign w:val="center"/>
            <w:shd w:fill="D9EAF7"/>
          </w:tcPr>
          <w:p>
            <w:r>
              <w:rPr>
                <w:b/>
              </w:rPr>
              <w:t>Что проверено</w:t>
            </w:r>
          </w:p>
        </w:tc>
        <w:tc>
          <w:tcPr>
            <w:tcW w:type="dxa" w:w="2592"/>
            <w:vAlign w:val="center"/>
            <w:shd w:fill="D9EAF7"/>
          </w:tcPr>
          <w:p>
            <w:r>
              <w:rPr>
                <w:b/>
              </w:rPr>
              <w:t>Результат</w:t>
            </w:r>
          </w:p>
        </w:tc>
        <w:tc>
          <w:tcPr>
            <w:tcW w:type="dxa" w:w="2592"/>
            <w:vAlign w:val="center"/>
            <w:shd w:fill="D9EAF7"/>
          </w:tcPr>
          <w:p>
            <w:r>
              <w:rPr>
                <w:b/>
              </w:rPr>
              <w:t>Действие</w:t>
            </w:r>
          </w:p>
        </w:tc>
      </w:tr>
      <w:tr>
        <w:tc>
          <w:tcPr>
            <w:tcW w:type="dxa" w:w="2592"/>
            <w:vAlign w:val="center"/>
          </w:tcPr>
          <w:p>
            <w:r>
              <w:t>Герметичность</w:t>
            </w:r>
          </w:p>
        </w:tc>
        <w:tc>
          <w:tcPr>
            <w:tcW w:type="dxa" w:w="2592"/>
            <w:vAlign w:val="center"/>
          </w:tcPr>
          <w:p>
            <w:r/>
          </w:p>
        </w:tc>
        <w:tc>
          <w:tcPr>
            <w:tcW w:type="dxa" w:w="2592"/>
            <w:vAlign w:val="center"/>
          </w:tcPr>
          <w:p>
            <w:r/>
          </w:p>
        </w:tc>
        <w:tc>
          <w:tcPr>
            <w:tcW w:type="dxa" w:w="2592"/>
            <w:vAlign w:val="center"/>
          </w:tcPr>
          <w:p>
            <w:r/>
          </w:p>
        </w:tc>
      </w:tr>
      <w:tr>
        <w:tc>
          <w:tcPr>
            <w:tcW w:type="dxa" w:w="2592"/>
            <w:vAlign w:val="center"/>
          </w:tcPr>
          <w:p>
            <w:r>
              <w:t>Клеммное соединение</w:t>
            </w:r>
          </w:p>
        </w:tc>
        <w:tc>
          <w:tcPr>
            <w:tcW w:type="dxa" w:w="2592"/>
            <w:vAlign w:val="center"/>
          </w:tcPr>
          <w:p>
            <w:r/>
          </w:p>
        </w:tc>
        <w:tc>
          <w:tcPr>
            <w:tcW w:type="dxa" w:w="2592"/>
            <w:vAlign w:val="center"/>
          </w:tcPr>
          <w:p>
            <w:r/>
          </w:p>
        </w:tc>
        <w:tc>
          <w:tcPr>
            <w:tcW w:type="dxa" w:w="2592"/>
            <w:vAlign w:val="center"/>
          </w:tcPr>
          <w:p>
            <w:r/>
          </w:p>
        </w:tc>
      </w:tr>
      <w:tr>
        <w:tc>
          <w:tcPr>
            <w:tcW w:type="dxa" w:w="2592"/>
            <w:vAlign w:val="center"/>
          </w:tcPr>
          <w:p>
            <w:r>
              <w:t>Изоляция</w:t>
            </w:r>
          </w:p>
        </w:tc>
        <w:tc>
          <w:tcPr>
            <w:tcW w:type="dxa" w:w="2592"/>
            <w:vAlign w:val="center"/>
          </w:tcPr>
          <w:p>
            <w:r/>
          </w:p>
        </w:tc>
        <w:tc>
          <w:tcPr>
            <w:tcW w:type="dxa" w:w="2592"/>
            <w:vAlign w:val="center"/>
          </w:tcPr>
          <w:p>
            <w:r/>
          </w:p>
        </w:tc>
        <w:tc>
          <w:tcPr>
            <w:tcW w:type="dxa" w:w="2592"/>
            <w:vAlign w:val="center"/>
          </w:tcPr>
          <w:p>
            <w:r/>
          </w:p>
        </w:tc>
      </w:tr>
      <w:tr>
        <w:tc>
          <w:tcPr>
            <w:tcW w:type="dxa" w:w="2592"/>
            <w:vAlign w:val="center"/>
          </w:tcPr>
          <w:p>
            <w:r>
              <w:t>Уставка</w:t>
            </w:r>
          </w:p>
        </w:tc>
        <w:tc>
          <w:tcPr>
            <w:tcW w:type="dxa" w:w="2592"/>
            <w:vAlign w:val="center"/>
          </w:tcPr>
          <w:p>
            <w:r/>
          </w:p>
        </w:tc>
        <w:tc>
          <w:tcPr>
            <w:tcW w:type="dxa" w:w="2592"/>
            <w:vAlign w:val="center"/>
          </w:tcPr>
          <w:p>
            <w:r/>
          </w:p>
        </w:tc>
        <w:tc>
          <w:tcPr>
            <w:tcW w:type="dxa" w:w="2592"/>
            <w:vAlign w:val="center"/>
          </w:tcPr>
          <w:p>
            <w:r/>
          </w:p>
        </w:tc>
      </w:tr>
      <w:tr>
        <w:tc>
          <w:tcPr>
            <w:tcW w:type="dxa" w:w="2592"/>
            <w:vAlign w:val="center"/>
          </w:tcPr>
          <w:p>
            <w:r>
              <w:t>Сигнализация</w:t>
            </w:r>
          </w:p>
        </w:tc>
        <w:tc>
          <w:tcPr>
            <w:tcW w:type="dxa" w:w="2592"/>
            <w:vAlign w:val="center"/>
          </w:tcPr>
          <w:p>
            <w:r/>
          </w:p>
        </w:tc>
        <w:tc>
          <w:tcPr>
            <w:tcW w:type="dxa" w:w="2592"/>
            <w:vAlign w:val="center"/>
          </w:tcPr>
          <w:p>
            <w:r/>
          </w:p>
        </w:tc>
        <w:tc>
          <w:tcPr>
            <w:tcW w:type="dxa" w:w="2592"/>
            <w:vAlign w:val="center"/>
          </w:tcPr>
          <w:p>
            <w:r/>
          </w:p>
        </w:tc>
      </w:tr>
      <w:tr>
        <w:tc>
          <w:tcPr>
            <w:tcW w:type="dxa" w:w="2592"/>
            <w:vAlign w:val="center"/>
          </w:tcPr>
          <w:p>
            <w:r>
              <w:t>Контроль после ТО</w:t>
            </w:r>
          </w:p>
        </w:tc>
        <w:tc>
          <w:tcPr>
            <w:tcW w:type="dxa" w:w="2592"/>
            <w:vAlign w:val="center"/>
          </w:tcPr>
          <w:p>
            <w:r/>
          </w:p>
        </w:tc>
        <w:tc>
          <w:tcPr>
            <w:tcW w:type="dxa" w:w="2592"/>
            <w:vAlign w:val="center"/>
          </w:tcPr>
          <w:p>
            <w:r/>
          </w:p>
        </w:tc>
        <w:tc>
          <w:tcPr>
            <w:tcW w:type="dxa" w:w="2592"/>
            <w:vAlign w:val="center"/>
          </w:tcPr>
          <w:p>
            <w:r/>
          </w:p>
        </w:tc>
      </w:tr>
    </w:tbl>
    <w:p>
      <w:pPr>
        <w:pStyle w:val="Heading1"/>
      </w:pPr>
      <w:r>
        <w:t>Критерии оценки</w:t>
      </w:r>
    </w:p>
    <w:p>
      <w:pPr>
        <w:pStyle w:val="ListBullet"/>
      </w:pPr>
      <w:r>
        <w:t>Последовательность действий технически обоснована.</w:t>
      </w:r>
    </w:p>
    <w:p>
      <w:pPr>
        <w:pStyle w:val="ListBullet"/>
      </w:pPr>
      <w:r>
        <w:t>Исходное состояние зафиксировано до вмешательства.</w:t>
      </w:r>
    </w:p>
    <w:p>
      <w:pPr>
        <w:pStyle w:val="ListBullet"/>
      </w:pPr>
      <w:r>
        <w:t>После регулировки выполнена повторная проверка.</w:t>
      </w:r>
    </w:p>
    <w:p>
      <w:pPr>
        <w:pStyle w:val="ListBullet"/>
      </w:pPr>
      <w:r>
        <w:t>Учтены герметичность, электрические цепи и сигнальные функции.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50" w:right="85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6"/>
      </w:rPr>
      <w:t xml:space="preserve">МДК.01.01 · 6-й разряд · Тема 1.2 · </w:t>
    </w:r>
    <w:r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rPr>
        <w:sz w:val="16"/>
      </w:rPr>
      <w:t>КИПиА ЯМАЛ · Учебно-методический комплект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Liberation Sans" w:hAnsi="Liberation Sans" w:eastAsia="Liberation San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Liberation Sans" w:hAnsi="Liberation Sans" w:eastAsia="Liberation Sans"/>
      <w:b/>
      <w:bCs/>
      <w:color w:val="365F91" w:themeColor="accent1" w:themeShade="B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Liberation Sans" w:hAnsi="Liberation Sans" w:eastAsia="Liberation Sans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Liberation Sans" w:hAnsi="Liberation Sans" w:eastAsia="Liberation Sans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Liberation Sans" w:hAnsi="Liberation Sans" w:eastAsia="Liberation Sans"/>
      <w:b/>
      <w:color w:val="17365D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