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МДК.01.02</w:t>
      </w:r>
    </w:p>
    <w:p>
      <w:pPr>
        <w:jc w:val="center"/>
      </w:pPr>
      <w:r>
        <w:rPr>
          <w:b/>
          <w:color w:val="1D5F95"/>
          <w:sz w:val="36"/>
        </w:rPr>
        <w:t>Тема 2.1</w:t>
      </w:r>
    </w:p>
    <w:p>
      <w:pPr>
        <w:jc w:val="center"/>
      </w:pPr>
      <w:r>
        <w:rPr>
          <w:b/>
          <w:sz w:val="38"/>
        </w:rPr>
        <w:t>«Слесарная обработка деталей КИП особой сложности»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24 академических часа: 18 часов теории + 6 часов практики</w:t>
      </w:r>
    </w:p>
    <w:p>
      <w:pPr>
        <w:jc w:val="center"/>
      </w:pPr>
      <w:r>
        <w:rPr>
          <w:b w:val="0"/>
          <w:sz w:val="22"/>
        </w:rPr>
        <w:t>Тренажёр: /metalworking.php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Рекомендуемая структура 24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90"/>
        <w:gridCol w:w="3390"/>
        <w:gridCol w:w="3390"/>
      </w:tblGrid>
      <w:tr>
        <w:tc>
          <w:tcPr>
            <w:tcW w:type="dxa" w:w="3390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90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90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1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Организация работ, чертёж, материал, базирование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2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Допуски, посадки, припуски, шероховатость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3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Разметка, резка, опиливание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4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Точные отверстия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5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Резьбовые соединения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6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Припасовка и шабрение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7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Притирка и доводка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8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Точный контроль размеров и геометрии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9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Маршрут, промежуточный контроль и приёмка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ЛПЗ 1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Подготовка и чтение требования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ЛПЗ 2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Размер, отверстие и резьба</w:t>
            </w:r>
          </w:p>
        </w:tc>
      </w:tr>
      <w:tr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ЛПЗ 3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90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Шабрение, поверхность и приёмка</w:t>
            </w:r>
          </w:p>
        </w:tc>
      </w:tr>
    </w:tbl>
    <w:p>
      <w:pPr>
        <w:pStyle w:val="Heading1"/>
      </w:pPr>
      <w:r>
        <w:t>2. Главный методический принцип</w:t>
      </w:r>
    </w:p>
    <w:p>
      <w:r>
        <w:t>Не обучать отдельным движениям инструмента в отрыве от допуска. Каждая операция должна отвечать на четыре вопроса: что требуется по чертежу, сколько материала можно снять, чем подтвердить результат и что станет необратимым после следующего шага.</w:t>
      </w:r>
    </w:p>
    <w:p>
      <w:pPr>
        <w:pStyle w:val="Heading1"/>
      </w:pPr>
      <w:r>
        <w:t>3. Как использовать тренажёр</w:t>
      </w:r>
    </w:p>
    <w:p>
      <w:pPr>
        <w:pStyle w:val="ListBullet"/>
      </w:pPr>
      <w:r>
        <w:t>Блоки 1–2 использовать в ЛПЗ 1: безопасность, чертёж, поле допуска, средство контроля.</w:t>
      </w:r>
    </w:p>
    <w:p>
      <w:pPr>
        <w:pStyle w:val="ListBullet"/>
      </w:pPr>
      <w:r>
        <w:t>Блоки 3–5 использовать в ЛПЗ 2: управление съёмом, маршрут отверстия и внутренняя резьба.</w:t>
      </w:r>
    </w:p>
    <w:p>
      <w:pPr>
        <w:pStyle w:val="ListBullet"/>
      </w:pPr>
      <w:r>
        <w:t>Блоки 6–7 использовать в ЛПЗ 3: шабрение, шероховатость, карта контроля и отчёт.</w:t>
      </w:r>
    </w:p>
    <w:p>
      <w:pPr>
        <w:pStyle w:val="ListBullet"/>
      </w:pPr>
      <w:r>
        <w:t>После каждого автоматического ответа просить обучающегося устно объяснить технологическую причину.</w:t>
      </w:r>
    </w:p>
    <w:p>
      <w:pPr>
        <w:pStyle w:val="ListBullet"/>
      </w:pPr>
      <w:r>
        <w:t>Подчёркивать, что H6 и Ra 0,4 — учебный кейс конкретной детали.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выбор штангенциркуля для допуска, который он не способен надёжно подтвердить;</w:t>
      </w:r>
    </w:p>
    <w:p>
      <w:pPr>
        <w:pStyle w:val="ListBullet"/>
      </w:pPr>
      <w:r>
        <w:t>слишком большой съём металла около нижнего предела наружного размера;</w:t>
      </w:r>
    </w:p>
    <w:p>
      <w:pPr>
        <w:pStyle w:val="ListBullet"/>
      </w:pPr>
      <w:r>
        <w:t>сверление сразу окончательным диаметром перед развёртыванием;</w:t>
      </w:r>
    </w:p>
    <w:p>
      <w:pPr>
        <w:pStyle w:val="ListBullet"/>
      </w:pPr>
      <w:r>
        <w:t>попытка исправить развёрткой заметное смещение оси;</w:t>
      </w:r>
    </w:p>
    <w:p>
      <w:pPr>
        <w:pStyle w:val="ListBullet"/>
      </w:pPr>
      <w:r>
        <w:t>работа метчиком с перекосом и без дробления стружки;</w:t>
      </w:r>
    </w:p>
    <w:p>
      <w:pPr>
        <w:pStyle w:val="ListBullet"/>
      </w:pPr>
      <w:r>
        <w:t>шабрение одного участка без контроля общей геометрии;</w:t>
      </w:r>
    </w:p>
    <w:p>
      <w:pPr>
        <w:pStyle w:val="ListBullet"/>
      </w:pPr>
      <w:r>
        <w:t>длительная притирка без промежуточного измерения;</w:t>
      </w:r>
    </w:p>
    <w:p>
      <w:pPr>
        <w:pStyle w:val="ListBullet"/>
      </w:pPr>
      <w:r>
        <w:t>приёмка детали только по внешнему виду.</w:t>
      </w:r>
    </w:p>
    <w:p>
      <w:pPr>
        <w:pStyle w:val="Heading1"/>
      </w:pPr>
      <w:r>
        <w:t>5. Критерии учебной оценки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85"/>
        <w:gridCol w:w="5085"/>
      </w:tblGrid>
      <w:tr>
        <w:tc>
          <w:tcPr>
            <w:tcW w:type="dxa" w:w="5085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Уровень</w:t>
            </w:r>
          </w:p>
        </w:tc>
        <w:tc>
          <w:tcPr>
            <w:tcW w:type="dxa" w:w="5085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Признаки</w:t>
            </w:r>
          </w:p>
        </w:tc>
      </w:tr>
      <w:tr>
        <w:tc>
          <w:tcPr>
            <w:tcW w:type="dxa" w:w="508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Базовый</w:t>
            </w:r>
          </w:p>
        </w:tc>
        <w:tc>
          <w:tcPr>
            <w:tcW w:type="dxa" w:w="508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читает размер и шероховатость, выбирает безопасную последовательность и подходящий инструмент</w:t>
            </w:r>
          </w:p>
        </w:tc>
      </w:tr>
      <w:tr>
        <w:tc>
          <w:tcPr>
            <w:tcW w:type="dxa" w:w="508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Уверенный</w:t>
            </w:r>
          </w:p>
        </w:tc>
        <w:tc>
          <w:tcPr>
            <w:tcW w:type="dxa" w:w="508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планирует припуск, выбирает промежуточный контроль и выполняет маршрут без выхода из допуска</w:t>
            </w:r>
          </w:p>
        </w:tc>
      </w:tr>
      <w:tr>
        <w:tc>
          <w:tcPr>
            <w:tcW w:type="dxa" w:w="508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Повышенный</w:t>
            </w:r>
          </w:p>
        </w:tc>
        <w:tc>
          <w:tcPr>
            <w:tcW w:type="dxa" w:w="5085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обосновывает технологический маршрут, анализирует дефекты формы и оформляет полную приёмку</w:t>
            </w:r>
          </w:p>
        </w:tc>
      </w:tr>
    </w:tbl>
    <w:p>
      <w:pPr>
        <w:pStyle w:val="Heading1"/>
      </w:pPr>
      <w:r>
        <w:t>6. Безопасность</w:t>
      </w:r>
    </w:p>
    <w:p>
      <w:r>
        <w:t>Тренажёр моделирует технологию, но не заменяет производственный инструктаж. На реальном рабочем месте применяют исправный инструмент, защитные средства, безопасное закрепление, требования к станочному и ручному оборудованию и локальные процедуры предприятия.</w:t>
      </w:r>
    </w:p>
    <w:p>
      <w:pPr>
        <w:pStyle w:val="Heading1"/>
      </w:pPr>
      <w:r>
        <w:t>7. Запись для журнала</w:t>
      </w:r>
    </w:p>
    <w:p>
      <w:r>
        <w:t>Проведено обучение по теме 2.1 «Слесарная обработка деталей КИП особой сложности». Рассмотрены чтение чертежей, базирование, допуски, посадки, припуски и шероховатость, точное опиливание, обработка отверстий и резьб, припасовка, шабрение, притирка и контроль геометрии. Выполнены три ЛПЗ в интерактивной слесарной мастерской.</w:t>
      </w:r>
    </w:p>
    <w:sectPr w:rsidR="00FC693F" w:rsidRPr="0006063C" w:rsidSect="00034616">
      <w:footerReference w:type="default" r:id="rId9"/>
      <w:pgSz w:w="12240" w:h="15840"/>
      <w:pgMar w:top="879" w:right="935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МДК.01.02 · тема 2.1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