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Методические указания преподавателю ОП.09</w:t>
      </w:r>
    </w:p>
    <w:p>
      <w:pPr>
        <w:spacing w:after="100"/>
      </w:pPr>
      <w:r>
        <w:t>Учебный курс 4-го разряда · ОП.09 «Слесарное дело»</w:t>
      </w:r>
    </w:p>
    <w:p>
      <w:pPr>
        <w:pStyle w:val="Heading1"/>
      </w:pPr>
      <w:r>
        <w:t>Цель и контроль освоения</w:t>
      </w:r>
    </w:p>
    <w:p>
      <w:pPr>
        <w:spacing w:after="100"/>
      </w:pPr>
      <w:r>
        <w:t>Сформировать навыки обоснованного выбора слесарного инструмента, обработки простой учебной детали, измерений, чтения чертежей и объяснения риска неправильного вмешательства в КИПиА.</w:t>
      </w:r>
    </w:p>
    <w:p>
      <w:pPr>
        <w:pStyle w:val="Heading1"/>
      </w:pPr>
      <w:r>
        <w:t>Обеспечение</w:t>
      </w:r>
    </w:p>
    <w:p>
      <w:pPr>
        <w:spacing w:after="100"/>
      </w:pPr>
      <w:r>
        <w:t>Исправные тиски с накладками, инструменты и шаблоны, демонстрационные образцы, безопасный учебный стенд, эскизы, штангенциркули и микрометры, инструктаж и средства защиты в соответствии с местными правилами.</w:t>
      </w:r>
    </w:p>
    <w:p>
      <w:pPr>
        <w:pStyle w:val="Heading1"/>
      </w:pPr>
      <w:r>
        <w:t>Рекомендуемая последовательность</w:t>
      </w:r>
    </w:p>
    <w:p>
      <w:pPr>
        <w:pStyle w:val="ListBullet"/>
        <w:spacing w:after="100"/>
      </w:pPr>
      <w:r>
        <w:t>Проверить подготовленность и компетенции группы.</w:t>
      </w:r>
    </w:p>
    <w:p>
      <w:pPr>
        <w:pStyle w:val="ListBullet"/>
        <w:spacing w:after="100"/>
      </w:pPr>
      <w:r>
        <w:t>Разобрать сценарии задач и проверить технологические ограничения.</w:t>
      </w:r>
    </w:p>
    <w:p>
      <w:pPr>
        <w:pStyle w:val="ListBullet"/>
        <w:spacing w:after="100"/>
      </w:pPr>
      <w:r>
        <w:t>Показать фиксацию детали, направления опиливания и типичные ошибки.</w:t>
      </w:r>
    </w:p>
    <w:p>
      <w:pPr>
        <w:pStyle w:val="ListBullet"/>
        <w:spacing w:after="100"/>
      </w:pPr>
      <w:r>
        <w:t>Изучить сверление и резьбу без допущения опасных опытов.</w:t>
      </w:r>
    </w:p>
    <w:p>
      <w:pPr>
        <w:pStyle w:val="ListBullet"/>
        <w:spacing w:after="100"/>
      </w:pPr>
      <w:r>
        <w:t>Сопоставить измеренное значение с допуском.</w:t>
      </w:r>
    </w:p>
    <w:p>
      <w:pPr>
        <w:pStyle w:val="ListBullet"/>
        <w:spacing w:after="100"/>
      </w:pPr>
      <w:r>
        <w:t>Разобрать ограничения для газодобывающих объектов и Ex-оборудования.</w:t>
      </w:r>
    </w:p>
    <w:p>
      <w:pPr>
        <w:pStyle w:val="ListBullet"/>
        <w:spacing w:after="100"/>
      </w:pPr>
      <w:r>
        <w:t>Провести практику, тест и интерактивные упражнения.</w:t>
      </w:r>
    </w:p>
    <w:p>
      <w:pPr>
        <w:pStyle w:val="ListBullet"/>
        <w:spacing w:after="100"/>
      </w:pPr>
      <w:r>
        <w:t>Оформить журнал, указать фактически проведённые часы и результаты.</w:t>
      </w:r>
    </w:p>
    <w:p>
      <w:pPr>
        <w:pStyle w:val="Heading1"/>
      </w:pPr>
      <w:r>
        <w:t>Методические ограничения</w:t>
      </w:r>
    </w:p>
    <w:p>
      <w:pPr>
        <w:spacing w:after="100"/>
      </w:pPr>
      <w:r>
        <w:t>Не проводить демонстрации с деталями под давлением, действующими системами ПАЗ и подключёнными измерительными приборами. Нельзя использовать учебные расчёты вместо чертежа, технологической карты и документации изготовителя.</w:t>
      </w:r>
    </w:p>
    <w:p>
      <w:pPr>
        <w:pStyle w:val="Heading1"/>
      </w:pPr>
      <w:r>
        <w:t>Источники</w:t>
      </w:r>
    </w:p>
    <w:p>
      <w:pPr>
        <w:spacing w:after="100"/>
      </w:pPr>
      <w:r>
        <w:t>Правила по охране труда при работе с инструментом и приспособлениями (приказ Минтруда РФ № 835н в действующей редакции), ГОСТ 166-89, ГОСТ 6507-90; локальные инструкции и документы изготовителей по применимости.</w:t>
      </w:r>
    </w:p>
    <w:p>
      <w:pPr>
        <w:pStyle w:val="Heading1"/>
      </w:pPr>
      <w:r>
        <w:t>Учёт нагрузки</w:t>
      </w:r>
    </w:p>
    <w:p>
      <w:pPr>
        <w:spacing w:after="100"/>
      </w:pPr>
      <w:r>
        <w:t>Объём по КУПД № УПД-15 от 21.04.2026, п. 7.5: 12 академических часов. Для электронного каталога принята рабочая разбивка 6 часов теории + 6 часов практики, исходя из пропорции 8+8 в типовом тематическом плане п. 4.15.1; преподаватель уточняет необходимость и содержание практических занятий.</w:t>
      </w:r>
    </w:p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